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571C" w:rsidRDefault="00B02913">
      <w:pPr>
        <w:spacing w:after="0" w:line="240" w:lineRule="auto"/>
        <w:jc w:val="center"/>
        <w:rPr>
          <w:rFonts w:ascii="Times New Roman" w:hAnsi="Times New Roman"/>
          <w:b/>
          <w:sz w:val="32"/>
          <w:szCs w:val="32"/>
          <w:lang w:val="en-US"/>
        </w:rPr>
      </w:pPr>
      <w:r>
        <w:rPr>
          <w:rFonts w:ascii="Times New Roman" w:hAnsi="Times New Roman"/>
          <w:b/>
          <w:sz w:val="32"/>
          <w:szCs w:val="32"/>
          <w:lang w:val="en-US"/>
        </w:rPr>
        <w:t>AI-Based Risk Assessment Tools in Project Planning and Execution</w:t>
      </w:r>
    </w:p>
    <w:p w:rsidR="0038571C" w:rsidRDefault="0038571C">
      <w:pPr>
        <w:spacing w:after="0" w:line="240" w:lineRule="auto"/>
        <w:jc w:val="center"/>
        <w:rPr>
          <w:rFonts w:ascii="Times New Roman" w:hAnsi="Times New Roman"/>
          <w:b/>
          <w:sz w:val="32"/>
          <w:szCs w:val="32"/>
          <w:lang w:val="en-US"/>
        </w:rPr>
      </w:pPr>
    </w:p>
    <w:p w:rsidR="0038571C" w:rsidRDefault="00B02913">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Satya Subrahmanya Sai Ram Gopal Peri</w:t>
      </w:r>
    </w:p>
    <w:p w:rsidR="0038571C" w:rsidRDefault="00B02913">
      <w:pPr>
        <w:spacing w:after="0" w:line="240" w:lineRule="auto"/>
        <w:jc w:val="center"/>
        <w:rPr>
          <w:rFonts w:ascii="Times New Roman" w:hAnsi="Times New Roman"/>
          <w:i/>
          <w:iCs/>
          <w:sz w:val="20"/>
          <w:szCs w:val="20"/>
          <w:lang w:val="en-US"/>
        </w:rPr>
      </w:pPr>
      <w:r>
        <w:rPr>
          <w:rFonts w:ascii="Times New Roman" w:hAnsi="Times New Roman"/>
          <w:i/>
          <w:iCs/>
          <w:sz w:val="20"/>
          <w:szCs w:val="20"/>
          <w:lang w:val="en-US"/>
        </w:rPr>
        <w:t>Business Integration Architecture Manager, Department of HCM &amp; Payroll Capability,</w:t>
      </w:r>
    </w:p>
    <w:p w:rsidR="0038571C" w:rsidRDefault="00B02913">
      <w:pPr>
        <w:spacing w:after="0" w:line="240" w:lineRule="auto"/>
        <w:jc w:val="center"/>
        <w:rPr>
          <w:rFonts w:ascii="Times New Roman" w:hAnsi="Times New Roman"/>
          <w:i/>
          <w:iCs/>
          <w:sz w:val="20"/>
          <w:szCs w:val="20"/>
          <w:lang w:val="en-US"/>
        </w:rPr>
      </w:pPr>
      <w:r>
        <w:rPr>
          <w:rFonts w:ascii="Times New Roman" w:hAnsi="Times New Roman"/>
          <w:i/>
          <w:iCs/>
          <w:sz w:val="20"/>
          <w:szCs w:val="20"/>
          <w:lang w:val="en-US"/>
        </w:rPr>
        <w:t>Accenture, Bengaluru</w:t>
      </w:r>
    </w:p>
    <w:p w:rsidR="0038571C" w:rsidRDefault="0038571C">
      <w:pPr>
        <w:shd w:val="clear" w:color="auto" w:fill="FFFFFF"/>
        <w:spacing w:after="0" w:line="240" w:lineRule="auto"/>
        <w:jc w:val="center"/>
        <w:rPr>
          <w:rFonts w:ascii="Times New Roman" w:eastAsia="Times New Roman" w:hAnsi="Times New Roman" w:cs="Times New Roman"/>
          <w:color w:val="1155CC"/>
          <w:sz w:val="24"/>
          <w:szCs w:val="24"/>
          <w:u w:val="single"/>
          <w:lang w:val="en-US"/>
        </w:rPr>
      </w:pPr>
    </w:p>
    <w:p w:rsidR="0038571C" w:rsidRDefault="00B02913">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Dr. RVS Praveen</w:t>
      </w:r>
    </w:p>
    <w:p w:rsidR="0038571C" w:rsidRDefault="00B02913">
      <w:pPr>
        <w:spacing w:after="0" w:line="240" w:lineRule="auto"/>
        <w:jc w:val="center"/>
        <w:rPr>
          <w:rFonts w:ascii="Times New Roman" w:hAnsi="Times New Roman"/>
          <w:i/>
          <w:iCs/>
          <w:sz w:val="20"/>
          <w:szCs w:val="20"/>
          <w:lang w:val="en-US"/>
        </w:rPr>
      </w:pPr>
      <w:r>
        <w:rPr>
          <w:rFonts w:ascii="Times New Roman" w:hAnsi="Times New Roman"/>
          <w:i/>
          <w:iCs/>
          <w:sz w:val="20"/>
          <w:szCs w:val="20"/>
          <w:lang w:val="en-US"/>
        </w:rPr>
        <w:t xml:space="preserve">Director, Utilities America, </w:t>
      </w:r>
      <w:r>
        <w:rPr>
          <w:rFonts w:ascii="Times New Roman" w:hAnsi="Times New Roman"/>
          <w:i/>
          <w:iCs/>
          <w:sz w:val="20"/>
          <w:szCs w:val="20"/>
          <w:lang w:val="en-US"/>
        </w:rPr>
        <w:t>LTIMindtree Limited, Houston, Texas, USA</w:t>
      </w:r>
    </w:p>
    <w:p w:rsidR="0038571C" w:rsidRDefault="0038571C">
      <w:pPr>
        <w:shd w:val="clear" w:color="auto" w:fill="FFFFFF"/>
        <w:spacing w:after="0" w:line="240" w:lineRule="auto"/>
        <w:jc w:val="center"/>
        <w:rPr>
          <w:rFonts w:ascii="Times New Roman" w:eastAsia="Times New Roman" w:hAnsi="Times New Roman" w:cs="Times New Roman"/>
          <w:color w:val="222222"/>
          <w:sz w:val="24"/>
          <w:szCs w:val="24"/>
          <w:lang w:val="en-US"/>
        </w:rPr>
      </w:pPr>
    </w:p>
    <w:p w:rsidR="0038571C" w:rsidRDefault="00B02913">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Vikrant Vasant Labde</w:t>
      </w:r>
    </w:p>
    <w:p w:rsidR="0038571C" w:rsidRDefault="00B02913">
      <w:pPr>
        <w:spacing w:after="0" w:line="240" w:lineRule="auto"/>
        <w:jc w:val="center"/>
        <w:rPr>
          <w:rFonts w:ascii="Times New Roman" w:hAnsi="Times New Roman"/>
          <w:i/>
          <w:iCs/>
          <w:sz w:val="20"/>
          <w:szCs w:val="20"/>
          <w:lang w:val="en-US"/>
        </w:rPr>
      </w:pPr>
      <w:r>
        <w:rPr>
          <w:rFonts w:ascii="Times New Roman" w:hAnsi="Times New Roman"/>
          <w:i/>
          <w:iCs/>
          <w:sz w:val="20"/>
          <w:szCs w:val="20"/>
          <w:lang w:val="en-US"/>
        </w:rPr>
        <w:t>Founder, CTO, Turinton Consulting Pvt Ltd, Pune, Maharashtra</w:t>
      </w:r>
    </w:p>
    <w:p w:rsidR="0038571C" w:rsidRDefault="0038571C">
      <w:pPr>
        <w:shd w:val="clear" w:color="auto" w:fill="FFFFFF"/>
        <w:spacing w:after="0" w:line="240" w:lineRule="auto"/>
        <w:jc w:val="both"/>
        <w:rPr>
          <w:rFonts w:ascii="Times New Roman" w:eastAsia="Times New Roman" w:hAnsi="Times New Roman" w:cs="Times New Roman"/>
          <w:color w:val="222222"/>
          <w:sz w:val="24"/>
          <w:szCs w:val="24"/>
          <w:lang w:val="en-US"/>
        </w:rPr>
      </w:pPr>
    </w:p>
    <w:p w:rsidR="0038571C" w:rsidRDefault="00B02913">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Amith Gudimella</w:t>
      </w:r>
    </w:p>
    <w:p w:rsidR="0038571C" w:rsidRDefault="00B02913">
      <w:pPr>
        <w:spacing w:after="0" w:line="240" w:lineRule="auto"/>
        <w:jc w:val="center"/>
        <w:rPr>
          <w:rFonts w:ascii="Times New Roman" w:hAnsi="Times New Roman"/>
          <w:i/>
          <w:iCs/>
          <w:sz w:val="20"/>
          <w:szCs w:val="20"/>
          <w:lang w:val="en-US"/>
        </w:rPr>
      </w:pPr>
      <w:r>
        <w:rPr>
          <w:rFonts w:ascii="Times New Roman" w:hAnsi="Times New Roman"/>
          <w:i/>
          <w:iCs/>
          <w:sz w:val="20"/>
          <w:szCs w:val="20"/>
          <w:lang w:val="en-US"/>
        </w:rPr>
        <w:t>Department of IT, Senior Engineer/ HCI Infrastructure Architect, Techno Tasks, Houston, 500013</w:t>
      </w:r>
    </w:p>
    <w:p w:rsidR="0038571C" w:rsidRDefault="0038571C">
      <w:pPr>
        <w:spacing w:after="0" w:line="240" w:lineRule="auto"/>
        <w:jc w:val="center"/>
        <w:rPr>
          <w:rFonts w:ascii="Times New Roman" w:eastAsia="Times New Roman" w:hAnsi="Times New Roman" w:cs="Times New Roman"/>
          <w:color w:val="1155CC"/>
          <w:sz w:val="24"/>
          <w:szCs w:val="24"/>
          <w:u w:val="single"/>
          <w:lang w:val="en-US"/>
        </w:rPr>
      </w:pPr>
    </w:p>
    <w:p w:rsidR="0038571C" w:rsidRDefault="00B02913">
      <w:pPr>
        <w:spacing w:after="0" w:line="240" w:lineRule="auto"/>
        <w:jc w:val="center"/>
        <w:rPr>
          <w:rFonts w:ascii="Times New Roman" w:eastAsia="Times New Roman" w:hAnsi="Times New Roman" w:cs="Times New Roman"/>
          <w:color w:val="202124"/>
          <w:sz w:val="24"/>
          <w:szCs w:val="24"/>
        </w:rPr>
      </w:pPr>
      <w:r>
        <w:rPr>
          <w:rFonts w:ascii="Times New Roman" w:hAnsi="Times New Roman" w:cs="Times New Roman"/>
          <w:b/>
          <w:sz w:val="20"/>
          <w:szCs w:val="20"/>
          <w:lang w:val="en-US"/>
        </w:rPr>
        <w:t>Dr. Sheela Hundekar</w:t>
      </w:r>
      <w:r>
        <w:rPr>
          <w:rFonts w:ascii="Times New Roman" w:hAnsi="Times New Roman" w:cs="Times New Roman"/>
          <w:b/>
          <w:sz w:val="20"/>
          <w:szCs w:val="20"/>
          <w:lang w:val="en-US"/>
        </w:rPr>
        <w:t>i</w:t>
      </w:r>
    </w:p>
    <w:p w:rsidR="0038571C" w:rsidRDefault="00B02913">
      <w:pPr>
        <w:shd w:val="clear" w:color="auto" w:fill="FFFFFF"/>
        <w:spacing w:after="0" w:line="240" w:lineRule="auto"/>
        <w:jc w:val="center"/>
        <w:rPr>
          <w:rFonts w:ascii="Times New Roman" w:eastAsia="Times New Roman" w:hAnsi="Times New Roman" w:cs="Times New Roman"/>
          <w:color w:val="202124"/>
          <w:sz w:val="24"/>
          <w:szCs w:val="24"/>
        </w:rPr>
      </w:pPr>
      <w:r>
        <w:rPr>
          <w:rFonts w:ascii="Times New Roman" w:hAnsi="Times New Roman"/>
          <w:i/>
          <w:iCs/>
          <w:sz w:val="20"/>
          <w:szCs w:val="20"/>
          <w:lang w:val="en-US"/>
        </w:rPr>
        <w:t>Associate Professor, School of Computer Applications, Pimpri Chinchwad University, Pune</w:t>
      </w:r>
      <w:r>
        <w:rPr>
          <w:rFonts w:ascii="Times New Roman" w:eastAsia="Times New Roman" w:hAnsi="Times New Roman" w:cs="Times New Roman"/>
          <w:color w:val="202124"/>
          <w:sz w:val="24"/>
          <w:szCs w:val="24"/>
        </w:rPr>
        <w:t xml:space="preserve"> </w:t>
      </w:r>
    </w:p>
    <w:p w:rsidR="0038571C" w:rsidRDefault="0038571C">
      <w:pPr>
        <w:shd w:val="clear" w:color="auto" w:fill="FFFFFF"/>
        <w:spacing w:after="0" w:line="240" w:lineRule="auto"/>
        <w:jc w:val="center"/>
        <w:rPr>
          <w:rFonts w:ascii="Times New Roman" w:eastAsia="Times New Roman" w:hAnsi="Times New Roman" w:cs="Times New Roman"/>
          <w:color w:val="202124"/>
          <w:sz w:val="24"/>
          <w:szCs w:val="24"/>
        </w:rPr>
      </w:pPr>
    </w:p>
    <w:p w:rsidR="0038571C" w:rsidRDefault="00B02913">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Dr. Anurag Shrivastava</w:t>
      </w:r>
    </w:p>
    <w:p w:rsidR="0038571C" w:rsidRDefault="00B02913">
      <w:pPr>
        <w:shd w:val="clear" w:color="auto" w:fill="FFFFFF"/>
        <w:spacing w:after="0" w:line="240" w:lineRule="auto"/>
        <w:jc w:val="center"/>
        <w:rPr>
          <w:rFonts w:ascii="Times New Roman" w:hAnsi="Times New Roman"/>
          <w:i/>
          <w:iCs/>
          <w:sz w:val="20"/>
          <w:szCs w:val="20"/>
          <w:lang w:val="en-US"/>
        </w:rPr>
      </w:pPr>
      <w:r>
        <w:rPr>
          <w:rFonts w:ascii="Times New Roman" w:hAnsi="Times New Roman"/>
          <w:i/>
          <w:iCs/>
          <w:sz w:val="20"/>
          <w:szCs w:val="20"/>
          <w:lang w:val="en-US"/>
        </w:rPr>
        <w:t>Saveetha School of Engineering, Saveetha Institute of Medical and Technical Sciences, Chennai, Tamilnadu, India</w:t>
      </w:r>
    </w:p>
    <w:p w:rsidR="0038571C" w:rsidRDefault="0038571C">
      <w:pPr>
        <w:spacing w:after="0" w:line="240" w:lineRule="auto"/>
        <w:jc w:val="center"/>
        <w:rPr>
          <w:rFonts w:ascii="Times New Roman" w:hAnsi="Times New Roman" w:cs="Times New Roman"/>
          <w:sz w:val="24"/>
          <w:szCs w:val="24"/>
        </w:rPr>
      </w:pPr>
    </w:p>
    <w:p w:rsidR="0038571C" w:rsidRDefault="0038571C">
      <w:pPr>
        <w:spacing w:after="0" w:line="240" w:lineRule="auto"/>
        <w:jc w:val="center"/>
        <w:rPr>
          <w:rFonts w:ascii="Times New Roman" w:hAnsi="Times New Roman" w:cs="Times New Roman"/>
          <w:sz w:val="24"/>
          <w:szCs w:val="24"/>
        </w:rPr>
      </w:pPr>
    </w:p>
    <w:p w:rsidR="0038571C" w:rsidRDefault="00B02913">
      <w:pPr>
        <w:spacing w:after="0" w:line="240" w:lineRule="auto"/>
        <w:jc w:val="both"/>
        <w:rPr>
          <w:rFonts w:ascii="Times New Roman" w:hAnsi="Times New Roman" w:cs="Times New Roman"/>
          <w:b/>
          <w:bCs/>
          <w:sz w:val="24"/>
          <w:szCs w:val="24"/>
          <w:lang w:val="en-GB"/>
        </w:rPr>
      </w:pPr>
      <w:r>
        <w:rPr>
          <w:rFonts w:ascii="Times New Roman" w:hAnsi="Times New Roman" w:cs="Times New Roman"/>
          <w:b/>
          <w:bCs/>
          <w:sz w:val="24"/>
          <w:szCs w:val="24"/>
        </w:rPr>
        <w:t>Abstract</w:t>
      </w:r>
      <w:r>
        <w:rPr>
          <w:rFonts w:ascii="Times New Roman" w:hAnsi="Times New Roman" w:cs="Times New Roman"/>
          <w:b/>
          <w:bCs/>
          <w:sz w:val="24"/>
          <w:szCs w:val="24"/>
          <w:lang w:val="en-GB"/>
        </w:rPr>
        <w:t>:</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complexity </w:t>
      </w:r>
      <w:r>
        <w:rPr>
          <w:rFonts w:ascii="Times New Roman" w:hAnsi="Times New Roman" w:cs="Times New Roman"/>
          <w:sz w:val="24"/>
          <w:szCs w:val="24"/>
        </w:rPr>
        <w:t>and uncertainty inherent in modern project environments have amplified the need for robust and intelligent risk assessment mechanisms. Traditional risk management approaches, although systematic, often lack the adaptability and data-processing capabilities</w:t>
      </w:r>
      <w:r>
        <w:rPr>
          <w:rFonts w:ascii="Times New Roman" w:hAnsi="Times New Roman" w:cs="Times New Roman"/>
          <w:sz w:val="24"/>
          <w:szCs w:val="24"/>
        </w:rPr>
        <w:t xml:space="preserve"> required for dynamic project environments. This research investigates the application of Artificial Intelligence (AI)-based risk assessment tools in the planning and execution phases of projects. By integrating machine learning, natural language processin</w:t>
      </w:r>
      <w:r>
        <w:rPr>
          <w:rFonts w:ascii="Times New Roman" w:hAnsi="Times New Roman" w:cs="Times New Roman"/>
          <w:sz w:val="24"/>
          <w:szCs w:val="24"/>
        </w:rPr>
        <w:t>g, and predictive analytics, these tools enhance the identification, quantification, and mitigation of project risks. Through a comprehensive literature review, comparative analysis of current tools, and industry case studies, this paper evaluates the perf</w:t>
      </w:r>
      <w:r>
        <w:rPr>
          <w:rFonts w:ascii="Times New Roman" w:hAnsi="Times New Roman" w:cs="Times New Roman"/>
          <w:sz w:val="24"/>
          <w:szCs w:val="24"/>
        </w:rPr>
        <w:t>ormance, benefits, and limitations of AI-based risk assessment methodologies. The findings reveal that AI significantly improves risk detection accuracy, enables real-time risk monitoring, and supports proactive decision-making, thus optimizing project out</w:t>
      </w:r>
      <w:r>
        <w:rPr>
          <w:rFonts w:ascii="Times New Roman" w:hAnsi="Times New Roman" w:cs="Times New Roman"/>
          <w:sz w:val="24"/>
          <w:szCs w:val="24"/>
        </w:rPr>
        <w:t>comes. The paper also discusses implementation challenges, such as data quality, model interpretability, and integration within existing project management frameworks. Ultimately, this research advocates for a strategic alignment of AI capabilities with ri</w:t>
      </w:r>
      <w:r>
        <w:rPr>
          <w:rFonts w:ascii="Times New Roman" w:hAnsi="Times New Roman" w:cs="Times New Roman"/>
          <w:sz w:val="24"/>
          <w:szCs w:val="24"/>
        </w:rPr>
        <w:t>sk governance to foster more resilient and successful project executions.</w:t>
      </w:r>
    </w:p>
    <w:p w:rsidR="0038571C" w:rsidRDefault="0038571C">
      <w:pPr>
        <w:spacing w:after="0" w:line="240" w:lineRule="auto"/>
        <w:jc w:val="both"/>
        <w:rPr>
          <w:rFonts w:ascii="Times New Roman" w:hAnsi="Times New Roman" w:cs="Times New Roman"/>
          <w:sz w:val="24"/>
          <w:szCs w:val="24"/>
        </w:rPr>
      </w:pPr>
    </w:p>
    <w:p w:rsidR="0038571C" w:rsidRDefault="00B02913">
      <w:pPr>
        <w:spacing w:after="0" w:line="240" w:lineRule="auto"/>
        <w:jc w:val="both"/>
        <w:rPr>
          <w:rFonts w:ascii="Times New Roman" w:hAnsi="Times New Roman" w:cs="Times New Roman"/>
          <w:i/>
          <w:iCs/>
          <w:sz w:val="24"/>
          <w:szCs w:val="24"/>
        </w:rPr>
      </w:pPr>
      <w:r>
        <w:rPr>
          <w:rFonts w:ascii="Times New Roman" w:hAnsi="Times New Roman" w:cs="Times New Roman"/>
          <w:b/>
          <w:bCs/>
          <w:sz w:val="24"/>
          <w:szCs w:val="24"/>
        </w:rPr>
        <w:t xml:space="preserve">Keywords: </w:t>
      </w:r>
      <w:r>
        <w:rPr>
          <w:rFonts w:ascii="Times New Roman" w:hAnsi="Times New Roman" w:cs="Times New Roman"/>
          <w:sz w:val="24"/>
          <w:szCs w:val="24"/>
        </w:rPr>
        <w:t>AI, Risk Assessment, Project Planning, Machine Learning, Predictive Analytics, Project Execution</w:t>
      </w:r>
    </w:p>
    <w:p w:rsidR="0038571C" w:rsidRDefault="0038571C">
      <w:pPr>
        <w:spacing w:after="0" w:line="240" w:lineRule="auto"/>
        <w:jc w:val="both"/>
        <w:rPr>
          <w:rFonts w:ascii="Times New Roman" w:hAnsi="Times New Roman" w:cs="Times New Roman"/>
          <w:i/>
          <w:iCs/>
          <w:sz w:val="24"/>
          <w:szCs w:val="24"/>
        </w:rPr>
      </w:pPr>
    </w:p>
    <w:p w:rsidR="0038571C" w:rsidRDefault="00B02913">
      <w:pPr>
        <w:spacing w:after="0" w:line="240" w:lineRule="auto"/>
        <w:jc w:val="both"/>
        <w:rPr>
          <w:rFonts w:ascii="Times New Roman" w:hAnsi="Times New Roman" w:cs="Times New Roman"/>
          <w:b/>
          <w:bCs/>
          <w:sz w:val="24"/>
          <w:szCs w:val="24"/>
          <w:lang w:val="en-GB"/>
        </w:rPr>
      </w:pPr>
      <w:r>
        <w:rPr>
          <w:rFonts w:ascii="Times New Roman" w:hAnsi="Times New Roman" w:cs="Times New Roman"/>
          <w:b/>
          <w:bCs/>
          <w:sz w:val="24"/>
          <w:szCs w:val="24"/>
        </w:rPr>
        <w:t>1. Introduction</w:t>
      </w:r>
      <w:r>
        <w:rPr>
          <w:rFonts w:ascii="Times New Roman" w:hAnsi="Times New Roman" w:cs="Times New Roman"/>
          <w:b/>
          <w:bCs/>
          <w:sz w:val="24"/>
          <w:szCs w:val="24"/>
          <w:lang w:val="en-GB"/>
        </w:rPr>
        <w:t>:</w:t>
      </w: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1.1 Overview</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today’s rapidly evolving and complex </w:t>
      </w:r>
      <w:r>
        <w:rPr>
          <w:rFonts w:ascii="Times New Roman" w:hAnsi="Times New Roman" w:cs="Times New Roman"/>
          <w:sz w:val="24"/>
          <w:szCs w:val="24"/>
        </w:rPr>
        <w:t>project environments, the effective management of risk is increasingly recognized as a critical determinant of project success. Projects, particularly large-scale or technically intricate ones, are subject to numerous uncertainties—from financial fluctuati</w:t>
      </w:r>
      <w:r>
        <w:rPr>
          <w:rFonts w:ascii="Times New Roman" w:hAnsi="Times New Roman" w:cs="Times New Roman"/>
          <w:sz w:val="24"/>
          <w:szCs w:val="24"/>
        </w:rPr>
        <w:t xml:space="preserve">ons and regulatory changes to supply chain disruptions and technological failures. </w:t>
      </w:r>
      <w:r>
        <w:rPr>
          <w:rFonts w:ascii="Times New Roman" w:hAnsi="Times New Roman" w:cs="Times New Roman"/>
          <w:sz w:val="24"/>
          <w:szCs w:val="24"/>
        </w:rPr>
        <w:lastRenderedPageBreak/>
        <w:t>Traditionally, risk assessment has relied on human expertise, qualitative judgment, and statistical methods to anticipate and mitigate adverse events. However, these convent</w:t>
      </w:r>
      <w:r>
        <w:rPr>
          <w:rFonts w:ascii="Times New Roman" w:hAnsi="Times New Roman" w:cs="Times New Roman"/>
          <w:sz w:val="24"/>
          <w:szCs w:val="24"/>
        </w:rPr>
        <w:t>ional methods often struggle to cope with the velocity, volume, and variability of data generated in contemporary project contexts. As a result, there is growing interest in leveraging Artificial Intelligence (AI) to enhance risk assessment capabilities in</w:t>
      </w:r>
      <w:r>
        <w:rPr>
          <w:rFonts w:ascii="Times New Roman" w:hAnsi="Times New Roman" w:cs="Times New Roman"/>
          <w:sz w:val="24"/>
          <w:szCs w:val="24"/>
        </w:rPr>
        <w:t xml:space="preserve"> project planning and execution.</w:t>
      </w:r>
    </w:p>
    <w:p w:rsidR="0038571C" w:rsidRDefault="0038571C">
      <w:pPr>
        <w:spacing w:after="0" w:line="240" w:lineRule="auto"/>
        <w:jc w:val="both"/>
        <w:rPr>
          <w:rFonts w:ascii="Times New Roman" w:hAnsi="Times New Roman" w:cs="Times New Roman"/>
          <w:sz w:val="24"/>
          <w:szCs w:val="24"/>
        </w:rPr>
      </w:pP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AI technologies such as machine learning (ML), natural language processing (NLP), expert systems, and neural networks offer the ability to analyze vast amounts of structured and unstructured data, identify hidden patterns,</w:t>
      </w:r>
      <w:r>
        <w:rPr>
          <w:rFonts w:ascii="Times New Roman" w:hAnsi="Times New Roman" w:cs="Times New Roman"/>
          <w:sz w:val="24"/>
          <w:szCs w:val="24"/>
        </w:rPr>
        <w:t xml:space="preserve"> and generate predictive insights. These capabilities present a transformative opportunity to detect potential risks earlier, evaluate their impacts more accurately, and recommend timely mitigation strategies. AI-driven tools can also facilitate dynamic an</w:t>
      </w:r>
      <w:r>
        <w:rPr>
          <w:rFonts w:ascii="Times New Roman" w:hAnsi="Times New Roman" w:cs="Times New Roman"/>
          <w:sz w:val="24"/>
          <w:szCs w:val="24"/>
        </w:rPr>
        <w:t>d real-time risk management, moving beyond static risk registers and manual updates. With intelligent automation, decision-making can become more responsive, consistent, and data-driven.</w:t>
      </w:r>
    </w:p>
    <w:p w:rsidR="0038571C" w:rsidRDefault="0038571C">
      <w:pPr>
        <w:spacing w:after="0" w:line="240" w:lineRule="auto"/>
        <w:jc w:val="both"/>
        <w:rPr>
          <w:rFonts w:ascii="Times New Roman" w:hAnsi="Times New Roman" w:cs="Times New Roman"/>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1.2 Scope and Objectives</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This research explores the emerging landsca</w:t>
      </w:r>
      <w:r>
        <w:rPr>
          <w:rFonts w:ascii="Times New Roman" w:hAnsi="Times New Roman" w:cs="Times New Roman"/>
          <w:sz w:val="24"/>
          <w:szCs w:val="24"/>
        </w:rPr>
        <w:t xml:space="preserve">pe of AI-based risk assessment tools with a focus on their application in the </w:t>
      </w:r>
      <w:r>
        <w:rPr>
          <w:rFonts w:ascii="Times New Roman" w:hAnsi="Times New Roman" w:cs="Times New Roman"/>
          <w:b/>
          <w:bCs/>
          <w:sz w:val="24"/>
          <w:szCs w:val="24"/>
        </w:rPr>
        <w:t>planning</w:t>
      </w:r>
      <w:r>
        <w:rPr>
          <w:rFonts w:ascii="Times New Roman" w:hAnsi="Times New Roman" w:cs="Times New Roman"/>
          <w:sz w:val="24"/>
          <w:szCs w:val="24"/>
        </w:rPr>
        <w:t xml:space="preserve"> and </w:t>
      </w:r>
      <w:r>
        <w:rPr>
          <w:rFonts w:ascii="Times New Roman" w:hAnsi="Times New Roman" w:cs="Times New Roman"/>
          <w:b/>
          <w:bCs/>
          <w:sz w:val="24"/>
          <w:szCs w:val="24"/>
        </w:rPr>
        <w:t>execution</w:t>
      </w:r>
      <w:r>
        <w:rPr>
          <w:rFonts w:ascii="Times New Roman" w:hAnsi="Times New Roman" w:cs="Times New Roman"/>
          <w:sz w:val="24"/>
          <w:szCs w:val="24"/>
        </w:rPr>
        <w:t xml:space="preserve"> phases of project management. The scope spans across multiple domains including construction, software development, infrastructure, and public-private part</w:t>
      </w:r>
      <w:r>
        <w:rPr>
          <w:rFonts w:ascii="Times New Roman" w:hAnsi="Times New Roman" w:cs="Times New Roman"/>
          <w:sz w:val="24"/>
          <w:szCs w:val="24"/>
        </w:rPr>
        <w:t>nerships, providing a cross-industry perspective.</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key objectives of this study are:</w:t>
      </w:r>
    </w:p>
    <w:p w:rsidR="0038571C" w:rsidRDefault="00B02913">
      <w:pPr>
        <w:numPr>
          <w:ilvl w:val="0"/>
          <w:numId w:val="1"/>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To investigate how AI technologies are currently being integrated into project risk assessment processes.</w:t>
      </w:r>
    </w:p>
    <w:p w:rsidR="0038571C" w:rsidRDefault="00B02913">
      <w:pPr>
        <w:numPr>
          <w:ilvl w:val="0"/>
          <w:numId w:val="1"/>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To compare the effectiveness of different AI models (e.g., dec</w:t>
      </w:r>
      <w:r>
        <w:rPr>
          <w:rFonts w:ascii="Times New Roman" w:hAnsi="Times New Roman" w:cs="Times New Roman"/>
          <w:sz w:val="24"/>
          <w:szCs w:val="24"/>
        </w:rPr>
        <w:t>ision trees, neural networks, NLP-based systems) in identifying and mitigating risks.</w:t>
      </w:r>
    </w:p>
    <w:p w:rsidR="0038571C" w:rsidRDefault="00B02913">
      <w:pPr>
        <w:numPr>
          <w:ilvl w:val="0"/>
          <w:numId w:val="1"/>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To analyze the real-world benefits and limitations of AI-based tools in practical project environments.</w:t>
      </w:r>
    </w:p>
    <w:p w:rsidR="0038571C" w:rsidRDefault="00B02913">
      <w:pPr>
        <w:numPr>
          <w:ilvl w:val="0"/>
          <w:numId w:val="1"/>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To identify critical challenges in AI adoption for project risk as</w:t>
      </w:r>
      <w:r>
        <w:rPr>
          <w:rFonts w:ascii="Times New Roman" w:hAnsi="Times New Roman" w:cs="Times New Roman"/>
          <w:sz w:val="24"/>
          <w:szCs w:val="24"/>
        </w:rPr>
        <w:t>sessment, such as data quality, interpretability, and integration issues.</w:t>
      </w:r>
    </w:p>
    <w:p w:rsidR="0038571C" w:rsidRDefault="00B02913">
      <w:pPr>
        <w:numPr>
          <w:ilvl w:val="0"/>
          <w:numId w:val="1"/>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To propose a conceptual framework for the strategic implementation of AI in risk governance.</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research is both exploratory and analytical, combining a literature review with conce</w:t>
      </w:r>
      <w:r>
        <w:rPr>
          <w:rFonts w:ascii="Times New Roman" w:hAnsi="Times New Roman" w:cs="Times New Roman"/>
          <w:sz w:val="24"/>
          <w:szCs w:val="24"/>
        </w:rPr>
        <w:t>ptual modeling and application insights, aimed at both academic scholars and industry practitioners.</w:t>
      </w:r>
    </w:p>
    <w:p w:rsidR="0038571C" w:rsidRDefault="0038571C">
      <w:pPr>
        <w:spacing w:after="0" w:line="240" w:lineRule="auto"/>
        <w:jc w:val="both"/>
        <w:rPr>
          <w:rFonts w:ascii="Times New Roman" w:hAnsi="Times New Roman" w:cs="Times New Roman"/>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1.3 Author Motivations</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motivation behind this research stems from the observed disconnect between the availability of advanced AI technologies and the</w:t>
      </w:r>
      <w:r>
        <w:rPr>
          <w:rFonts w:ascii="Times New Roman" w:hAnsi="Times New Roman" w:cs="Times New Roman"/>
          <w:sz w:val="24"/>
          <w:szCs w:val="24"/>
        </w:rPr>
        <w:t>ir limited deployment in risk assessment functions within project management. While AI is extensively used in sectors like finance, healthcare, and marketing, its adoption in project risk management remains underexplored and often constrained to pilot appl</w:t>
      </w:r>
      <w:r>
        <w:rPr>
          <w:rFonts w:ascii="Times New Roman" w:hAnsi="Times New Roman" w:cs="Times New Roman"/>
          <w:sz w:val="24"/>
          <w:szCs w:val="24"/>
        </w:rPr>
        <w:t>ications. This represents a lost opportunity for projects that deal with complex interdependencies and time-sensitive deliverables.</w:t>
      </w:r>
    </w:p>
    <w:p w:rsidR="0038571C" w:rsidRDefault="0038571C">
      <w:pPr>
        <w:spacing w:after="0" w:line="240" w:lineRule="auto"/>
        <w:jc w:val="both"/>
        <w:rPr>
          <w:rFonts w:ascii="Times New Roman" w:hAnsi="Times New Roman" w:cs="Times New Roman"/>
          <w:sz w:val="24"/>
          <w:szCs w:val="24"/>
        </w:rPr>
      </w:pP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From the perspective of the authors, there is a pressing need to bring AI-driven capabilities into the project manager’s to</w:t>
      </w:r>
      <w:r>
        <w:rPr>
          <w:rFonts w:ascii="Times New Roman" w:hAnsi="Times New Roman" w:cs="Times New Roman"/>
          <w:sz w:val="24"/>
          <w:szCs w:val="24"/>
        </w:rPr>
        <w:t>olkit—not to replace human judgment, but to augment it. The authors have witnessed firsthand, through industry collaborations and academic case studies, how poor risk identification and mitigation often lead to scope creep, budget overruns, and project fai</w:t>
      </w:r>
      <w:r>
        <w:rPr>
          <w:rFonts w:ascii="Times New Roman" w:hAnsi="Times New Roman" w:cs="Times New Roman"/>
          <w:sz w:val="24"/>
          <w:szCs w:val="24"/>
        </w:rPr>
        <w:t>lures. Given this context, the research seeks to bridge the knowledge gap and provide actionable insights into the integration of AI in project risk planning and control systems.</w:t>
      </w:r>
    </w:p>
    <w:p w:rsidR="0038571C" w:rsidRDefault="0038571C">
      <w:pPr>
        <w:spacing w:after="0" w:line="240" w:lineRule="auto"/>
        <w:jc w:val="both"/>
        <w:rPr>
          <w:rFonts w:ascii="Times New Roman" w:hAnsi="Times New Roman" w:cs="Times New Roman"/>
          <w:sz w:val="24"/>
          <w:szCs w:val="24"/>
        </w:rPr>
      </w:pP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Furthermore, with growing calls for project agility, sustainability, and </w:t>
      </w:r>
      <w:r>
        <w:rPr>
          <w:rFonts w:ascii="Times New Roman" w:hAnsi="Times New Roman" w:cs="Times New Roman"/>
          <w:sz w:val="24"/>
          <w:szCs w:val="24"/>
        </w:rPr>
        <w:t>resilience, it becomes essential to reimagine traditional risk management frameworks through the lens of intelligent automation. The motivation is not only technical but also strategic: to help organizations adapt to complexity and uncertainty by leveragin</w:t>
      </w:r>
      <w:r>
        <w:rPr>
          <w:rFonts w:ascii="Times New Roman" w:hAnsi="Times New Roman" w:cs="Times New Roman"/>
          <w:sz w:val="24"/>
          <w:szCs w:val="24"/>
        </w:rPr>
        <w:t>g emerging digital capabilities.</w:t>
      </w:r>
    </w:p>
    <w:p w:rsidR="0038571C" w:rsidRDefault="0038571C">
      <w:pPr>
        <w:spacing w:after="0" w:line="240" w:lineRule="auto"/>
        <w:jc w:val="both"/>
        <w:rPr>
          <w:rFonts w:ascii="Times New Roman" w:hAnsi="Times New Roman" w:cs="Times New Roman"/>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1.4 Structure of the Paper</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paper is structured as follows:</w:t>
      </w:r>
    </w:p>
    <w:p w:rsidR="0038571C" w:rsidRDefault="00B02913">
      <w:pPr>
        <w:numPr>
          <w:ilvl w:val="0"/>
          <w:numId w:val="2"/>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Section 2 – Literature Review</w:t>
      </w:r>
      <w:r>
        <w:rPr>
          <w:rFonts w:ascii="Times New Roman" w:hAnsi="Times New Roman" w:cs="Times New Roman"/>
          <w:sz w:val="24"/>
          <w:szCs w:val="24"/>
        </w:rPr>
        <w:t xml:space="preserve">: Presents a critical synthesis of existing research on AI in risk assessment and project planning, highlighting trends, </w:t>
      </w:r>
      <w:r>
        <w:rPr>
          <w:rFonts w:ascii="Times New Roman" w:hAnsi="Times New Roman" w:cs="Times New Roman"/>
          <w:sz w:val="24"/>
          <w:szCs w:val="24"/>
        </w:rPr>
        <w:t>contributions, and research gaps.</w:t>
      </w:r>
    </w:p>
    <w:p w:rsidR="0038571C" w:rsidRDefault="00B02913">
      <w:pPr>
        <w:numPr>
          <w:ilvl w:val="0"/>
          <w:numId w:val="2"/>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Section 3 – Methodological Approach</w:t>
      </w:r>
      <w:r>
        <w:rPr>
          <w:rFonts w:ascii="Times New Roman" w:hAnsi="Times New Roman" w:cs="Times New Roman"/>
          <w:sz w:val="24"/>
          <w:szCs w:val="24"/>
        </w:rPr>
        <w:t>: Outlines the research methodology, including the selection of AI models, evaluation criteria, and sources of empirical evidence.</w:t>
      </w:r>
    </w:p>
    <w:p w:rsidR="0038571C" w:rsidRDefault="00B02913">
      <w:pPr>
        <w:numPr>
          <w:ilvl w:val="0"/>
          <w:numId w:val="2"/>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Section 4 – Analysis of AI-Based Risk Assessment Tools</w:t>
      </w:r>
      <w:r>
        <w:rPr>
          <w:rFonts w:ascii="Times New Roman" w:hAnsi="Times New Roman" w:cs="Times New Roman"/>
          <w:sz w:val="24"/>
          <w:szCs w:val="24"/>
        </w:rPr>
        <w:t xml:space="preserve">: </w:t>
      </w:r>
      <w:r>
        <w:rPr>
          <w:rFonts w:ascii="Times New Roman" w:hAnsi="Times New Roman" w:cs="Times New Roman"/>
          <w:sz w:val="24"/>
          <w:szCs w:val="24"/>
        </w:rPr>
        <w:t>Provides a comparative assessment of various AI techniques and tools used in project environments, supported by tables, case insights, and performance metrics.</w:t>
      </w:r>
    </w:p>
    <w:p w:rsidR="0038571C" w:rsidRDefault="00B02913">
      <w:pPr>
        <w:numPr>
          <w:ilvl w:val="0"/>
          <w:numId w:val="2"/>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Section 5 – Challenges, Limitations, and Integration Issues</w:t>
      </w:r>
      <w:r>
        <w:rPr>
          <w:rFonts w:ascii="Times New Roman" w:hAnsi="Times New Roman" w:cs="Times New Roman"/>
          <w:sz w:val="24"/>
          <w:szCs w:val="24"/>
        </w:rPr>
        <w:t>: Discusses the practical barriers to</w:t>
      </w:r>
      <w:r>
        <w:rPr>
          <w:rFonts w:ascii="Times New Roman" w:hAnsi="Times New Roman" w:cs="Times New Roman"/>
          <w:sz w:val="24"/>
          <w:szCs w:val="24"/>
        </w:rPr>
        <w:t xml:space="preserve"> AI adoption in risk assessment, including data availability, regulatory concerns, and user acceptance.</w:t>
      </w:r>
    </w:p>
    <w:p w:rsidR="0038571C" w:rsidRDefault="00B02913">
      <w:pPr>
        <w:numPr>
          <w:ilvl w:val="0"/>
          <w:numId w:val="2"/>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Section 6 – Proposed Framework and Strategic Recommendations</w:t>
      </w:r>
      <w:r>
        <w:rPr>
          <w:rFonts w:ascii="Times New Roman" w:hAnsi="Times New Roman" w:cs="Times New Roman"/>
          <w:sz w:val="24"/>
          <w:szCs w:val="24"/>
        </w:rPr>
        <w:t>: Introduces a conceptual model for AI-enabled risk management and offers practical guidelin</w:t>
      </w:r>
      <w:r>
        <w:rPr>
          <w:rFonts w:ascii="Times New Roman" w:hAnsi="Times New Roman" w:cs="Times New Roman"/>
          <w:sz w:val="24"/>
          <w:szCs w:val="24"/>
        </w:rPr>
        <w:t>es for organizations planning to adopt these technologies.</w:t>
      </w:r>
    </w:p>
    <w:p w:rsidR="0038571C" w:rsidRDefault="00B02913">
      <w:pPr>
        <w:numPr>
          <w:ilvl w:val="0"/>
          <w:numId w:val="2"/>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Section 7 – Conclusion and Future Research Directions</w:t>
      </w:r>
      <w:r>
        <w:rPr>
          <w:rFonts w:ascii="Times New Roman" w:hAnsi="Times New Roman" w:cs="Times New Roman"/>
          <w:sz w:val="24"/>
          <w:szCs w:val="24"/>
        </w:rPr>
        <w:t>: Summarizes key findings, identifies limitations, and outlines future avenues for academic and industrial exploration.</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essence, this researc</w:t>
      </w:r>
      <w:r>
        <w:rPr>
          <w:rFonts w:ascii="Times New Roman" w:hAnsi="Times New Roman" w:cs="Times New Roman"/>
          <w:sz w:val="24"/>
          <w:szCs w:val="24"/>
        </w:rPr>
        <w:t>h aims to shine a spotlight on the untapped potential of AI-based tools in enhancing the precision, responsiveness, and reliability of risk assessments throughout the lifecycle of a project. As organizations grapple with growing complexities and tighter ti</w:t>
      </w:r>
      <w:r>
        <w:rPr>
          <w:rFonts w:ascii="Times New Roman" w:hAnsi="Times New Roman" w:cs="Times New Roman"/>
          <w:sz w:val="24"/>
          <w:szCs w:val="24"/>
        </w:rPr>
        <w:t xml:space="preserve">melines, embedding intelligence into risk management is no longer a luxury—it is a necessity. Through this study, the authors hope to contribute a meaningful perspective to the discourse on digital transformation in project management, and to pave the way </w:t>
      </w:r>
      <w:r>
        <w:rPr>
          <w:rFonts w:ascii="Times New Roman" w:hAnsi="Times New Roman" w:cs="Times New Roman"/>
          <w:sz w:val="24"/>
          <w:szCs w:val="24"/>
        </w:rPr>
        <w:t>for more adaptive, resilient, and successful project outcomes powered by AI.</w:t>
      </w:r>
    </w:p>
    <w:p w:rsidR="0038571C" w:rsidRDefault="0038571C">
      <w:pPr>
        <w:spacing w:after="0" w:line="240" w:lineRule="auto"/>
        <w:jc w:val="both"/>
        <w:rPr>
          <w:rFonts w:ascii="Times New Roman" w:hAnsi="Times New Roman" w:cs="Times New Roman"/>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 Literature Review</w:t>
      </w:r>
      <w:r>
        <w:rPr>
          <w:rFonts w:ascii="Times New Roman" w:hAnsi="Times New Roman" w:cs="Times New Roman"/>
          <w:b/>
          <w:bCs/>
          <w:sz w:val="24"/>
          <w:szCs w:val="24"/>
        </w:rPr>
        <w:t>:</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integration of Artificial Intelligence (AI) into risk assessment processes has emerged as a transformative development in project management. Numerous s</w:t>
      </w:r>
      <w:r>
        <w:rPr>
          <w:rFonts w:ascii="Times New Roman" w:hAnsi="Times New Roman" w:cs="Times New Roman"/>
          <w:sz w:val="24"/>
          <w:szCs w:val="24"/>
        </w:rPr>
        <w:t>tudies over the past decade have explored the application of machine learning, natural language processing, and expert systems to manage and mitigate risks more effectively. This literature review provides a critical synthesis of the current body of knowle</w:t>
      </w:r>
      <w:r>
        <w:rPr>
          <w:rFonts w:ascii="Times New Roman" w:hAnsi="Times New Roman" w:cs="Times New Roman"/>
          <w:sz w:val="24"/>
          <w:szCs w:val="24"/>
        </w:rPr>
        <w:t>dge, identifies significant contributions, and exposes the gaps that this study aims to address.</w:t>
      </w:r>
    </w:p>
    <w:p w:rsidR="0038571C" w:rsidRDefault="0038571C">
      <w:pPr>
        <w:spacing w:after="0" w:line="240" w:lineRule="auto"/>
        <w:jc w:val="both"/>
        <w:rPr>
          <w:rFonts w:ascii="Times New Roman" w:hAnsi="Times New Roman" w:cs="Times New Roman"/>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2.1 Evolution of Risk Assessment in Project Management</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Risk management has traditionally followed deterministic or probabilistic frameworks, such as Failure M</w:t>
      </w:r>
      <w:r>
        <w:rPr>
          <w:rFonts w:ascii="Times New Roman" w:hAnsi="Times New Roman" w:cs="Times New Roman"/>
          <w:sz w:val="24"/>
          <w:szCs w:val="24"/>
        </w:rPr>
        <w:t>ode and Effects Analysis (FMEA), Monte Carlo simulations, or SWOT analysis. While these approaches offer structure, they are often static, heavily reliant on subjective expert judgments, and not responsive to real-time changes (Alshammari &amp; Hussain, 2023).</w:t>
      </w:r>
      <w:r>
        <w:rPr>
          <w:rFonts w:ascii="Times New Roman" w:hAnsi="Times New Roman" w:cs="Times New Roman"/>
          <w:sz w:val="24"/>
          <w:szCs w:val="24"/>
        </w:rPr>
        <w:t xml:space="preserve"> As projects grow in complexity and unpredictability, particularly in sectors like infrastructure and IT, traditional methods increasingly fall short in capturing dynamic, data-driven insights.</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rise of AI technologies offers an opportunity to evolve fr</w:t>
      </w:r>
      <w:r>
        <w:rPr>
          <w:rFonts w:ascii="Times New Roman" w:hAnsi="Times New Roman" w:cs="Times New Roman"/>
          <w:sz w:val="24"/>
          <w:szCs w:val="24"/>
        </w:rPr>
        <w:t xml:space="preserve">om static models to adaptive systems capable of real-time risk identification and evaluation. Machine learning (ML) and </w:t>
      </w:r>
      <w:r>
        <w:rPr>
          <w:rFonts w:ascii="Times New Roman" w:hAnsi="Times New Roman" w:cs="Times New Roman"/>
          <w:sz w:val="24"/>
          <w:szCs w:val="24"/>
        </w:rPr>
        <w:lastRenderedPageBreak/>
        <w:t>deep learning (DL) algorithms can learn from historical project data, simulate risk scenarios, and deliver early warning signals (Bakhsh</w:t>
      </w:r>
      <w:r>
        <w:rPr>
          <w:rFonts w:ascii="Times New Roman" w:hAnsi="Times New Roman" w:cs="Times New Roman"/>
          <w:sz w:val="24"/>
          <w:szCs w:val="24"/>
        </w:rPr>
        <w:t>i et al., 2022).</w:t>
      </w:r>
    </w:p>
    <w:p w:rsidR="0038571C" w:rsidRDefault="0038571C">
      <w:pPr>
        <w:spacing w:after="0" w:line="240" w:lineRule="auto"/>
        <w:jc w:val="both"/>
        <w:rPr>
          <w:rFonts w:ascii="Times New Roman" w:hAnsi="Times New Roman" w:cs="Times New Roman"/>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2.2 AI Technologies in Risk Identification and Prediction</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Studies such as Dinesh and Thomas (2023) have emphasized the potential of </w:t>
      </w:r>
      <w:r>
        <w:rPr>
          <w:rFonts w:ascii="Times New Roman" w:hAnsi="Times New Roman" w:cs="Times New Roman"/>
          <w:b/>
          <w:bCs/>
          <w:sz w:val="24"/>
          <w:szCs w:val="24"/>
        </w:rPr>
        <w:t>Natural Language Processing (NLP)</w:t>
      </w:r>
      <w:r>
        <w:rPr>
          <w:rFonts w:ascii="Times New Roman" w:hAnsi="Times New Roman" w:cs="Times New Roman"/>
          <w:sz w:val="24"/>
          <w:szCs w:val="24"/>
        </w:rPr>
        <w:t xml:space="preserve"> to extract implicit risks from project documents, meeting transcripts, a</w:t>
      </w:r>
      <w:r>
        <w:rPr>
          <w:rFonts w:ascii="Times New Roman" w:hAnsi="Times New Roman" w:cs="Times New Roman"/>
          <w:sz w:val="24"/>
          <w:szCs w:val="24"/>
        </w:rPr>
        <w:t>nd stakeholder communications. Similarly, Choudhury and Haque (2023) developed a hybrid deep learning framework using fuzzy logic for evaluating construction project risks, offering improved performance over traditional expert-based assessments.</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Moreover, </w:t>
      </w:r>
      <w:r>
        <w:rPr>
          <w:rFonts w:ascii="Times New Roman" w:hAnsi="Times New Roman" w:cs="Times New Roman"/>
          <w:sz w:val="24"/>
          <w:szCs w:val="24"/>
        </w:rPr>
        <w:t>neural networks and decision trees have been employed for risk classification and severity prediction. Kim and Kim (2024) proposed a deep learning-based probabilistic model for project execution that effectively anticipates cost overruns and scheduling del</w:t>
      </w:r>
      <w:r>
        <w:rPr>
          <w:rFonts w:ascii="Times New Roman" w:hAnsi="Times New Roman" w:cs="Times New Roman"/>
          <w:sz w:val="24"/>
          <w:szCs w:val="24"/>
        </w:rPr>
        <w:t>ays under varying operational conditions.</w:t>
      </w:r>
    </w:p>
    <w:p w:rsidR="0038571C" w:rsidRDefault="0038571C">
      <w:pPr>
        <w:spacing w:after="0" w:line="240" w:lineRule="auto"/>
        <w:jc w:val="both"/>
        <w:rPr>
          <w:rFonts w:ascii="Times New Roman" w:hAnsi="Times New Roman" w:cs="Times New Roman"/>
          <w:sz w:val="24"/>
          <w:szCs w:val="24"/>
        </w:rPr>
      </w:pP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the context of ensemble methods, Lin and Wu (2023) demonstrated that combining multiple ML techniques, such as Random Forests and Gradient Boosting, yields better generalization in risk prediction than any sing</w:t>
      </w:r>
      <w:r>
        <w:rPr>
          <w:rFonts w:ascii="Times New Roman" w:hAnsi="Times New Roman" w:cs="Times New Roman"/>
          <w:sz w:val="24"/>
          <w:szCs w:val="24"/>
        </w:rPr>
        <w:t>le model. This corroborates findings by Fekete and Hartmann (2022), who showed that predictive project analytics supported by AI significantly improve response planning.</w:t>
      </w:r>
    </w:p>
    <w:p w:rsidR="0038571C" w:rsidRDefault="0038571C">
      <w:pPr>
        <w:spacing w:after="0" w:line="240" w:lineRule="auto"/>
        <w:jc w:val="both"/>
        <w:rPr>
          <w:rFonts w:ascii="Times New Roman" w:hAnsi="Times New Roman" w:cs="Times New Roman"/>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2.3 AI for Risk Monitoring and Control in Execution Phase</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AI applications are not lim</w:t>
      </w:r>
      <w:r>
        <w:rPr>
          <w:rFonts w:ascii="Times New Roman" w:hAnsi="Times New Roman" w:cs="Times New Roman"/>
          <w:sz w:val="24"/>
          <w:szCs w:val="24"/>
        </w:rPr>
        <w:t>ited to risk identification; they extend into continuous monitoring and control. Mehta and Kapoor (2022) explored the deployment of real-time AI monitoring dashboards that flag anomalies during project execution and prompt decision-makers to take correctiv</w:t>
      </w:r>
      <w:r>
        <w:rPr>
          <w:rFonts w:ascii="Times New Roman" w:hAnsi="Times New Roman" w:cs="Times New Roman"/>
          <w:sz w:val="24"/>
          <w:szCs w:val="24"/>
        </w:rPr>
        <w:t>e actions. Likewise, Pandey and Sharma (2023) focused on big-data-powered models that identify cross-dimensional risks (e.g., financial + operational) and provide multi-scenario forecasts.</w:t>
      </w:r>
    </w:p>
    <w:p w:rsidR="0038571C" w:rsidRDefault="0038571C">
      <w:pPr>
        <w:spacing w:after="0" w:line="240" w:lineRule="auto"/>
        <w:jc w:val="both"/>
        <w:rPr>
          <w:rFonts w:ascii="Times New Roman" w:hAnsi="Times New Roman" w:cs="Times New Roman"/>
          <w:sz w:val="24"/>
          <w:szCs w:val="24"/>
        </w:rPr>
      </w:pP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integration of AI with Building Information Modeling (BIM) and</w:t>
      </w:r>
      <w:r>
        <w:rPr>
          <w:rFonts w:ascii="Times New Roman" w:hAnsi="Times New Roman" w:cs="Times New Roman"/>
          <w:sz w:val="24"/>
          <w:szCs w:val="24"/>
        </w:rPr>
        <w:t xml:space="preserve"> Internet of Things (IoT) has also shown promising results. Wang and Zhao (2022) demonstrated a BIM-AI framework capable of dynamically assessing on-site construction risks, showcasing the convergence of physical and digital project environments.</w:t>
      </w:r>
    </w:p>
    <w:p w:rsidR="0038571C" w:rsidRDefault="0038571C">
      <w:pPr>
        <w:spacing w:after="0" w:line="240" w:lineRule="auto"/>
        <w:jc w:val="both"/>
        <w:rPr>
          <w:rFonts w:ascii="Times New Roman" w:hAnsi="Times New Roman" w:cs="Times New Roman"/>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2.4 Inte</w:t>
      </w:r>
      <w:r>
        <w:rPr>
          <w:rFonts w:ascii="Times New Roman" w:hAnsi="Times New Roman" w:cs="Times New Roman"/>
          <w:b/>
          <w:bCs/>
          <w:sz w:val="24"/>
          <w:szCs w:val="24"/>
        </w:rPr>
        <w:t>rdisciplinary Approaches and Sectoral Applications</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literature reveals diverse applications of AI in sectors such as construction, IT, public-private partnerships (PPP), and mega-infrastructure projects. Jafarnejad and Rezaei (2022) used case studies to</w:t>
      </w:r>
      <w:r>
        <w:rPr>
          <w:rFonts w:ascii="Times New Roman" w:hAnsi="Times New Roman" w:cs="Times New Roman"/>
          <w:sz w:val="24"/>
          <w:szCs w:val="24"/>
        </w:rPr>
        <w:t xml:space="preserve"> show that AI-based risk detection systems in large-scale infrastructure projects reduce subjectivity and improve stakeholder trust. In the PPP context, Osei-Kyei and Chan (2023) highlighted how AI helps quantify stakeholder and political risks that are of</w:t>
      </w:r>
      <w:r>
        <w:rPr>
          <w:rFonts w:ascii="Times New Roman" w:hAnsi="Times New Roman" w:cs="Times New Roman"/>
          <w:sz w:val="24"/>
          <w:szCs w:val="24"/>
        </w:rPr>
        <w:t>ten overlooked by traditional risk models.</w:t>
      </w:r>
    </w:p>
    <w:p w:rsidR="0038571C" w:rsidRDefault="0038571C">
      <w:pPr>
        <w:spacing w:after="0" w:line="240" w:lineRule="auto"/>
        <w:jc w:val="both"/>
        <w:rPr>
          <w:rFonts w:ascii="Times New Roman" w:hAnsi="Times New Roman" w:cs="Times New Roman"/>
          <w:sz w:val="24"/>
          <w:szCs w:val="24"/>
        </w:rPr>
      </w:pP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the agile software industry, Hassan and Abubakar (2023) emphasized the usefulness of AI in adaptive planning environments, where continuous learning from sprint performance data supports better risk anticipati</w:t>
      </w:r>
      <w:r>
        <w:rPr>
          <w:rFonts w:ascii="Times New Roman" w:hAnsi="Times New Roman" w:cs="Times New Roman"/>
          <w:sz w:val="24"/>
          <w:szCs w:val="24"/>
        </w:rPr>
        <w:t>on and backlog management.</w:t>
      </w:r>
    </w:p>
    <w:p w:rsidR="0038571C" w:rsidRDefault="0038571C">
      <w:pPr>
        <w:spacing w:after="0" w:line="240" w:lineRule="auto"/>
        <w:jc w:val="both"/>
        <w:rPr>
          <w:rFonts w:ascii="Times New Roman" w:hAnsi="Times New Roman" w:cs="Times New Roman"/>
          <w:sz w:val="24"/>
          <w:szCs w:val="24"/>
        </w:rPr>
      </w:pPr>
    </w:p>
    <w:p w:rsidR="0038571C" w:rsidRDefault="0038571C">
      <w:pPr>
        <w:spacing w:after="0" w:line="240" w:lineRule="auto"/>
        <w:jc w:val="both"/>
        <w:rPr>
          <w:rFonts w:ascii="Times New Roman" w:hAnsi="Times New Roman" w:cs="Times New Roman"/>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2.5 Interpretability and Explainable AI in Project Risk Management</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Despite the growing use of AI, the </w:t>
      </w:r>
      <w:r>
        <w:rPr>
          <w:rFonts w:ascii="Times New Roman" w:hAnsi="Times New Roman" w:cs="Times New Roman"/>
          <w:b/>
          <w:bCs/>
          <w:sz w:val="24"/>
          <w:szCs w:val="24"/>
        </w:rPr>
        <w:t>lack of interpretability</w:t>
      </w:r>
      <w:r>
        <w:rPr>
          <w:rFonts w:ascii="Times New Roman" w:hAnsi="Times New Roman" w:cs="Times New Roman"/>
          <w:sz w:val="24"/>
          <w:szCs w:val="24"/>
        </w:rPr>
        <w:t xml:space="preserve"> remains a key concern, particularly in regulated industries. Gao and Xu (2024) proposed using SHAP (</w:t>
      </w:r>
      <w:r>
        <w:rPr>
          <w:rFonts w:ascii="Times New Roman" w:hAnsi="Times New Roman" w:cs="Times New Roman"/>
          <w:sz w:val="24"/>
          <w:szCs w:val="24"/>
        </w:rPr>
        <w:t xml:space="preserve">Shapley Additive Explanations) values to provide explainability in black-box models, enabling risk analysts to understand the rationale behind AI-driven insights. This aligns with the need for “trustworthy AI,” especially where risk-based decisions affect </w:t>
      </w:r>
      <w:r>
        <w:rPr>
          <w:rFonts w:ascii="Times New Roman" w:hAnsi="Times New Roman" w:cs="Times New Roman"/>
          <w:sz w:val="24"/>
          <w:szCs w:val="24"/>
        </w:rPr>
        <w:t>public safety or organizational compliance.</w:t>
      </w:r>
    </w:p>
    <w:p w:rsidR="0038571C" w:rsidRDefault="0038571C">
      <w:pPr>
        <w:spacing w:after="0" w:line="240" w:lineRule="auto"/>
        <w:jc w:val="both"/>
        <w:rPr>
          <w:rFonts w:ascii="Times New Roman" w:hAnsi="Times New Roman" w:cs="Times New Roman"/>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2.6 Implementation Challenges and Barriers</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While the literature is rich with use cases, several studies note significant challenges to implementation. Among them are issues related to:</w:t>
      </w:r>
    </w:p>
    <w:p w:rsidR="0038571C" w:rsidRDefault="00B02913">
      <w:pPr>
        <w:numPr>
          <w:ilvl w:val="0"/>
          <w:numId w:val="3"/>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 xml:space="preserve">Data quality and </w:t>
      </w:r>
      <w:r>
        <w:rPr>
          <w:rFonts w:ascii="Times New Roman" w:hAnsi="Times New Roman" w:cs="Times New Roman"/>
          <w:b/>
          <w:bCs/>
          <w:sz w:val="24"/>
          <w:szCs w:val="24"/>
        </w:rPr>
        <w:t>availability</w:t>
      </w:r>
      <w:r>
        <w:rPr>
          <w:rFonts w:ascii="Times New Roman" w:hAnsi="Times New Roman" w:cs="Times New Roman"/>
          <w:sz w:val="24"/>
          <w:szCs w:val="24"/>
        </w:rPr>
        <w:t xml:space="preserve"> (Nguyen &amp; Dao, 2023)</w:t>
      </w:r>
    </w:p>
    <w:p w:rsidR="0038571C" w:rsidRDefault="00B02913">
      <w:pPr>
        <w:numPr>
          <w:ilvl w:val="0"/>
          <w:numId w:val="3"/>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System integration with existing project management tools</w:t>
      </w:r>
      <w:r>
        <w:rPr>
          <w:rFonts w:ascii="Times New Roman" w:hAnsi="Times New Roman" w:cs="Times New Roman"/>
          <w:sz w:val="24"/>
          <w:szCs w:val="24"/>
        </w:rPr>
        <w:t xml:space="preserve"> (Hassan &amp; Abubakar, 2023)</w:t>
      </w:r>
    </w:p>
    <w:p w:rsidR="0038571C" w:rsidRDefault="00B02913">
      <w:pPr>
        <w:numPr>
          <w:ilvl w:val="0"/>
          <w:numId w:val="3"/>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Cost of AI deployment and scalability in smaller organizations</w:t>
      </w:r>
      <w:r>
        <w:rPr>
          <w:rFonts w:ascii="Times New Roman" w:hAnsi="Times New Roman" w:cs="Times New Roman"/>
          <w:sz w:val="24"/>
          <w:szCs w:val="24"/>
        </w:rPr>
        <w:t xml:space="preserve"> (Alshammari &amp; Hussain, 2023)</w:t>
      </w:r>
    </w:p>
    <w:p w:rsidR="0038571C" w:rsidRDefault="00B02913">
      <w:pPr>
        <w:numPr>
          <w:ilvl w:val="0"/>
          <w:numId w:val="3"/>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 xml:space="preserve">User resistance and lack of AI literacy among </w:t>
      </w:r>
      <w:r>
        <w:rPr>
          <w:rFonts w:ascii="Times New Roman" w:hAnsi="Times New Roman" w:cs="Times New Roman"/>
          <w:b/>
          <w:bCs/>
          <w:sz w:val="24"/>
          <w:szCs w:val="24"/>
        </w:rPr>
        <w:t>project managers</w:t>
      </w:r>
      <w:r>
        <w:rPr>
          <w:rFonts w:ascii="Times New Roman" w:hAnsi="Times New Roman" w:cs="Times New Roman"/>
          <w:sz w:val="24"/>
          <w:szCs w:val="24"/>
        </w:rPr>
        <w:t xml:space="preserve"> (Mehta &amp; Kapoor, 2022)</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These factors create a divide between AI capability and real-world application, often relegating AI risk tools to pilot studies or isolated deployments.</w:t>
      </w:r>
    </w:p>
    <w:p w:rsidR="0038571C" w:rsidRDefault="0038571C">
      <w:pPr>
        <w:spacing w:after="0" w:line="240" w:lineRule="auto"/>
        <w:jc w:val="both"/>
        <w:rPr>
          <w:rFonts w:ascii="Times New Roman" w:hAnsi="Times New Roman" w:cs="Times New Roman"/>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2.7 Research Gaps</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Despite the significant advancements, </w:t>
      </w:r>
      <w:r>
        <w:rPr>
          <w:rFonts w:ascii="Times New Roman" w:hAnsi="Times New Roman" w:cs="Times New Roman"/>
          <w:b/>
          <w:bCs/>
          <w:sz w:val="24"/>
          <w:szCs w:val="24"/>
        </w:rPr>
        <w:t>severa</w:t>
      </w:r>
      <w:r>
        <w:rPr>
          <w:rFonts w:ascii="Times New Roman" w:hAnsi="Times New Roman" w:cs="Times New Roman"/>
          <w:b/>
          <w:bCs/>
          <w:sz w:val="24"/>
          <w:szCs w:val="24"/>
        </w:rPr>
        <w:t>l research gaps</w:t>
      </w:r>
      <w:r>
        <w:rPr>
          <w:rFonts w:ascii="Times New Roman" w:hAnsi="Times New Roman" w:cs="Times New Roman"/>
          <w:sz w:val="24"/>
          <w:szCs w:val="24"/>
        </w:rPr>
        <w:t xml:space="preserve"> persist:</w:t>
      </w:r>
    </w:p>
    <w:p w:rsidR="0038571C" w:rsidRDefault="00B02913">
      <w:pPr>
        <w:numPr>
          <w:ilvl w:val="0"/>
          <w:numId w:val="4"/>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Holistic Frameworks</w:t>
      </w:r>
      <w:r>
        <w:rPr>
          <w:rFonts w:ascii="Times New Roman" w:hAnsi="Times New Roman" w:cs="Times New Roman"/>
          <w:sz w:val="24"/>
          <w:szCs w:val="24"/>
        </w:rPr>
        <w:t>: Existing studies often focus on isolated AI techniques (e.g., NLP, neural networks) without integrating them into a unified risk governance framework tailored for different project phases.</w:t>
      </w:r>
    </w:p>
    <w:p w:rsidR="0038571C" w:rsidRDefault="00B02913">
      <w:pPr>
        <w:numPr>
          <w:ilvl w:val="0"/>
          <w:numId w:val="4"/>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 xml:space="preserve">Cross-Domain </w:t>
      </w:r>
      <w:r>
        <w:rPr>
          <w:rFonts w:ascii="Times New Roman" w:hAnsi="Times New Roman" w:cs="Times New Roman"/>
          <w:b/>
          <w:bCs/>
          <w:sz w:val="24"/>
          <w:szCs w:val="24"/>
        </w:rPr>
        <w:t>Generalization</w:t>
      </w:r>
      <w:r>
        <w:rPr>
          <w:rFonts w:ascii="Times New Roman" w:hAnsi="Times New Roman" w:cs="Times New Roman"/>
          <w:sz w:val="24"/>
          <w:szCs w:val="24"/>
        </w:rPr>
        <w:t>: Most research is domain-specific (e.g., construction or IT). There is a need for cross-domain comparative studies to evaluate how AI models generalize across various project types.</w:t>
      </w:r>
    </w:p>
    <w:p w:rsidR="0038571C" w:rsidRDefault="00B02913">
      <w:pPr>
        <w:numPr>
          <w:ilvl w:val="0"/>
          <w:numId w:val="4"/>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Real-Time Adaptive Learning</w:t>
      </w:r>
      <w:r>
        <w:rPr>
          <w:rFonts w:ascii="Times New Roman" w:hAnsi="Times New Roman" w:cs="Times New Roman"/>
          <w:sz w:val="24"/>
          <w:szCs w:val="24"/>
        </w:rPr>
        <w:t>: While prediction models are we</w:t>
      </w:r>
      <w:r>
        <w:rPr>
          <w:rFonts w:ascii="Times New Roman" w:hAnsi="Times New Roman" w:cs="Times New Roman"/>
          <w:sz w:val="24"/>
          <w:szCs w:val="24"/>
        </w:rPr>
        <w:t>ll-studied, real-time learning and adaptive risk models—particularly those using reinforcement learning—are underexplored.</w:t>
      </w:r>
    </w:p>
    <w:p w:rsidR="0038571C" w:rsidRDefault="00B02913">
      <w:pPr>
        <w:numPr>
          <w:ilvl w:val="0"/>
          <w:numId w:val="4"/>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Explainability vs. Accuracy Trade-off</w:t>
      </w:r>
      <w:r>
        <w:rPr>
          <w:rFonts w:ascii="Times New Roman" w:hAnsi="Times New Roman" w:cs="Times New Roman"/>
          <w:sz w:val="24"/>
          <w:szCs w:val="24"/>
        </w:rPr>
        <w:t>: There is insufficient investigation into how explainable AI can be optimized without significa</w:t>
      </w:r>
      <w:r>
        <w:rPr>
          <w:rFonts w:ascii="Times New Roman" w:hAnsi="Times New Roman" w:cs="Times New Roman"/>
          <w:sz w:val="24"/>
          <w:szCs w:val="24"/>
        </w:rPr>
        <w:t>ntly compromising accuracy, especially in mission-critical project environments.</w:t>
      </w:r>
    </w:p>
    <w:p w:rsidR="0038571C" w:rsidRDefault="00B02913">
      <w:pPr>
        <w:numPr>
          <w:ilvl w:val="0"/>
          <w:numId w:val="4"/>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Ethical and Governance Issues</w:t>
      </w:r>
      <w:r>
        <w:rPr>
          <w:rFonts w:ascii="Times New Roman" w:hAnsi="Times New Roman" w:cs="Times New Roman"/>
          <w:sz w:val="24"/>
          <w:szCs w:val="24"/>
        </w:rPr>
        <w:t>: Few studies address the ethical considerations and governance structures needed to deploy AI responsibly in risk-sensitive contexts.</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literat</w:t>
      </w:r>
      <w:r>
        <w:rPr>
          <w:rFonts w:ascii="Times New Roman" w:hAnsi="Times New Roman" w:cs="Times New Roman"/>
          <w:sz w:val="24"/>
          <w:szCs w:val="24"/>
        </w:rPr>
        <w:t xml:space="preserve">ure strongly supports the potential of AI to revolutionize risk assessment in project management. However, the focus remains fragmented, with limited research on integrated frameworks, interpretability, and dynamic risk modeling. This study aims to bridge </w:t>
      </w:r>
      <w:r>
        <w:rPr>
          <w:rFonts w:ascii="Times New Roman" w:hAnsi="Times New Roman" w:cs="Times New Roman"/>
          <w:sz w:val="24"/>
          <w:szCs w:val="24"/>
        </w:rPr>
        <w:t>these gaps by offering a comprehensive analysis of AI tools for both the planning and execution phases of project risk management and by proposing a strategic framework to guide implementation. In doing so, it contributes to the ongoing discourse on how in</w:t>
      </w:r>
      <w:r>
        <w:rPr>
          <w:rFonts w:ascii="Times New Roman" w:hAnsi="Times New Roman" w:cs="Times New Roman"/>
          <w:sz w:val="24"/>
          <w:szCs w:val="24"/>
        </w:rPr>
        <w:t>telligent automation can reshape the risk landscape in modern project environments.</w:t>
      </w:r>
    </w:p>
    <w:p w:rsidR="0038571C" w:rsidRDefault="0038571C">
      <w:pPr>
        <w:spacing w:after="0" w:line="240" w:lineRule="auto"/>
        <w:jc w:val="both"/>
        <w:rPr>
          <w:rFonts w:ascii="Times New Roman" w:hAnsi="Times New Roman" w:cs="Times New Roman"/>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3. Methodology and Evaluation Framework</w:t>
      </w:r>
      <w:r>
        <w:rPr>
          <w:rFonts w:ascii="Times New Roman" w:hAnsi="Times New Roman" w:cs="Times New Roman"/>
          <w:b/>
          <w:bCs/>
          <w:sz w:val="24"/>
          <w:szCs w:val="24"/>
        </w:rPr>
        <w:t>:</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This section presents the research methodology adopted for evaluating AI-based risk assessment tools in the context of project pla</w:t>
      </w:r>
      <w:r>
        <w:rPr>
          <w:rFonts w:ascii="Times New Roman" w:hAnsi="Times New Roman" w:cs="Times New Roman"/>
          <w:sz w:val="24"/>
          <w:szCs w:val="24"/>
        </w:rPr>
        <w:t>nning and execution. The methodology combines qualitative and quantitative research approaches, including literature synthesis, expert consultation, model evaluation, and comparative analysis.</w:t>
      </w:r>
    </w:p>
    <w:p w:rsidR="0038571C" w:rsidRDefault="0038571C">
      <w:pPr>
        <w:spacing w:after="0" w:line="240" w:lineRule="auto"/>
        <w:jc w:val="both"/>
        <w:rPr>
          <w:rFonts w:ascii="Times New Roman" w:hAnsi="Times New Roman" w:cs="Times New Roman"/>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3.1 Research Design</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research design is structured in three</w:t>
      </w:r>
      <w:r>
        <w:rPr>
          <w:rFonts w:ascii="Times New Roman" w:hAnsi="Times New Roman" w:cs="Times New Roman"/>
          <w:sz w:val="24"/>
          <w:szCs w:val="24"/>
        </w:rPr>
        <w:t xml:space="preserve"> key stages:</w:t>
      </w:r>
    </w:p>
    <w:p w:rsidR="0038571C" w:rsidRDefault="00B02913">
      <w:pPr>
        <w:numPr>
          <w:ilvl w:val="0"/>
          <w:numId w:val="5"/>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Exploratory Stage</w:t>
      </w:r>
      <w:r>
        <w:rPr>
          <w:rFonts w:ascii="Times New Roman" w:hAnsi="Times New Roman" w:cs="Times New Roman"/>
          <w:sz w:val="24"/>
          <w:szCs w:val="24"/>
        </w:rPr>
        <w:t xml:space="preserve"> – Identification and classification of AI tools used in project risk management through an extensive literature review and industry reports.</w:t>
      </w:r>
    </w:p>
    <w:p w:rsidR="0038571C" w:rsidRDefault="00B02913">
      <w:pPr>
        <w:numPr>
          <w:ilvl w:val="0"/>
          <w:numId w:val="5"/>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Analytical Stage</w:t>
      </w:r>
      <w:r>
        <w:rPr>
          <w:rFonts w:ascii="Times New Roman" w:hAnsi="Times New Roman" w:cs="Times New Roman"/>
          <w:sz w:val="24"/>
          <w:szCs w:val="24"/>
        </w:rPr>
        <w:t xml:space="preserve"> – Comparative analysis of selected tools based on defined evaluatio</w:t>
      </w:r>
      <w:r>
        <w:rPr>
          <w:rFonts w:ascii="Times New Roman" w:hAnsi="Times New Roman" w:cs="Times New Roman"/>
          <w:sz w:val="24"/>
          <w:szCs w:val="24"/>
        </w:rPr>
        <w:t>n criteria such as accuracy, scalability, interpretability, integration, and adaptability.</w:t>
      </w:r>
    </w:p>
    <w:p w:rsidR="0038571C" w:rsidRDefault="00B02913">
      <w:pPr>
        <w:numPr>
          <w:ilvl w:val="0"/>
          <w:numId w:val="5"/>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Framework Development Stage</w:t>
      </w:r>
      <w:r>
        <w:rPr>
          <w:rFonts w:ascii="Times New Roman" w:hAnsi="Times New Roman" w:cs="Times New Roman"/>
          <w:sz w:val="24"/>
          <w:szCs w:val="24"/>
        </w:rPr>
        <w:t xml:space="preserve"> – Based on findings, a conceptual framework is developed for strategic integration of AI tools in project risk workflows.</w:t>
      </w:r>
    </w:p>
    <w:p w:rsidR="0038571C" w:rsidRDefault="0038571C">
      <w:pPr>
        <w:spacing w:after="0" w:line="240" w:lineRule="auto"/>
        <w:jc w:val="both"/>
        <w:rPr>
          <w:rFonts w:ascii="Times New Roman" w:hAnsi="Times New Roman" w:cs="Times New Roman"/>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3.2 Selection </w:t>
      </w:r>
      <w:r>
        <w:rPr>
          <w:rFonts w:ascii="Times New Roman" w:hAnsi="Times New Roman" w:cs="Times New Roman"/>
          <w:b/>
          <w:bCs/>
          <w:sz w:val="24"/>
          <w:szCs w:val="24"/>
        </w:rPr>
        <w:t>of AI Techniques</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From the literature review and industry surveys, the most frequently adopted AI methods for risk assessment were selected. Table 1 summarizes the AI methods included in the study.</w:t>
      </w:r>
    </w:p>
    <w:p w:rsidR="0038571C" w:rsidRDefault="0038571C">
      <w:pPr>
        <w:spacing w:after="0" w:line="240" w:lineRule="auto"/>
        <w:jc w:val="both"/>
        <w:rPr>
          <w:rFonts w:ascii="Times New Roman" w:hAnsi="Times New Roman" w:cs="Times New Roman"/>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Table 1. Common AI Techniques Used in Project Risk Assessm</w:t>
      </w:r>
      <w:r>
        <w:rPr>
          <w:rFonts w:ascii="Times New Roman" w:hAnsi="Times New Roman" w:cs="Times New Roman"/>
          <w:b/>
          <w:bCs/>
          <w:sz w:val="24"/>
          <w:szCs w:val="24"/>
        </w:rPr>
        <w:t>ent</w:t>
      </w:r>
    </w:p>
    <w:tbl>
      <w:tblPr>
        <w:tblStyle w:val="TableGrid"/>
        <w:tblW w:w="0" w:type="auto"/>
        <w:tblLook w:val="04A0" w:firstRow="1" w:lastRow="0" w:firstColumn="1" w:lastColumn="0" w:noHBand="0" w:noVBand="1"/>
      </w:tblPr>
      <w:tblGrid>
        <w:gridCol w:w="2407"/>
        <w:gridCol w:w="3472"/>
        <w:gridCol w:w="3183"/>
      </w:tblGrid>
      <w:tr w:rsidR="0038571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AI Technique</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Description</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Typical Use Case</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Decision Trees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Rule-based classification and regression</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Risk prioritization and categorization</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Neural Networks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Layered learning models for pattern recognition</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Predicting cost and schedule deviations</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Natural </w:t>
            </w:r>
            <w:r>
              <w:rPr>
                <w:rFonts w:ascii="Times New Roman" w:hAnsi="Times New Roman" w:cs="Times New Roman"/>
                <w:sz w:val="24"/>
                <w:szCs w:val="24"/>
              </w:rPr>
              <w:t>Language Processing</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Analyzing text data to extract insights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Extracting risks from project documents</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Ensemble Methods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Combining multiple models for better performance</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Scenario analysis and sensitivity testing</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Fuzzy Logic Systems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Handling ambiguity and vag</w:t>
            </w:r>
            <w:r>
              <w:rPr>
                <w:rFonts w:ascii="Times New Roman" w:hAnsi="Times New Roman" w:cs="Times New Roman"/>
                <w:sz w:val="24"/>
                <w:szCs w:val="24"/>
              </w:rPr>
              <w:t>ueness in data</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Human-centric risk modeling</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Reinforcement Learning</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Adaptive learning through feedback loops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Dynamic risk re-evaluation during execution</w:t>
            </w:r>
          </w:p>
        </w:tc>
      </w:tr>
    </w:tbl>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3.3 Evaluation Criteria</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To assess the suitability of each AI technique, five evaluation dimensions </w:t>
      </w:r>
      <w:r>
        <w:rPr>
          <w:rFonts w:ascii="Times New Roman" w:hAnsi="Times New Roman" w:cs="Times New Roman"/>
          <w:sz w:val="24"/>
          <w:szCs w:val="24"/>
        </w:rPr>
        <w:t>were identified:</w:t>
      </w:r>
    </w:p>
    <w:p w:rsidR="0038571C" w:rsidRDefault="00B02913">
      <w:pPr>
        <w:numPr>
          <w:ilvl w:val="0"/>
          <w:numId w:val="6"/>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Accuracy</w:t>
      </w:r>
      <w:r>
        <w:rPr>
          <w:rFonts w:ascii="Times New Roman" w:hAnsi="Times New Roman" w:cs="Times New Roman"/>
          <w:sz w:val="24"/>
          <w:szCs w:val="24"/>
        </w:rPr>
        <w:t xml:space="preserve"> – How well the model predicts or identifies risks.</w:t>
      </w:r>
    </w:p>
    <w:p w:rsidR="0038571C" w:rsidRDefault="00B02913">
      <w:pPr>
        <w:numPr>
          <w:ilvl w:val="0"/>
          <w:numId w:val="6"/>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Scalability</w:t>
      </w:r>
      <w:r>
        <w:rPr>
          <w:rFonts w:ascii="Times New Roman" w:hAnsi="Times New Roman" w:cs="Times New Roman"/>
          <w:sz w:val="24"/>
          <w:szCs w:val="24"/>
        </w:rPr>
        <w:t xml:space="preserve"> – Its ability to function across different project sizes and industries.</w:t>
      </w:r>
    </w:p>
    <w:p w:rsidR="0038571C" w:rsidRDefault="00B02913">
      <w:pPr>
        <w:numPr>
          <w:ilvl w:val="0"/>
          <w:numId w:val="6"/>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Interpretability</w:t>
      </w:r>
      <w:r>
        <w:rPr>
          <w:rFonts w:ascii="Times New Roman" w:hAnsi="Times New Roman" w:cs="Times New Roman"/>
          <w:sz w:val="24"/>
          <w:szCs w:val="24"/>
        </w:rPr>
        <w:t xml:space="preserve"> – The ease with which results can be understood by project teams.</w:t>
      </w:r>
    </w:p>
    <w:p w:rsidR="0038571C" w:rsidRDefault="00B02913">
      <w:pPr>
        <w:numPr>
          <w:ilvl w:val="0"/>
          <w:numId w:val="6"/>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Integration</w:t>
      </w:r>
      <w:r>
        <w:rPr>
          <w:rFonts w:ascii="Times New Roman" w:hAnsi="Times New Roman" w:cs="Times New Roman"/>
          <w:sz w:val="24"/>
          <w:szCs w:val="24"/>
        </w:rPr>
        <w:t xml:space="preserve"> – Compatibility with existing project management systems (e.g., Primavera, MS Project).</w:t>
      </w:r>
    </w:p>
    <w:p w:rsidR="0038571C" w:rsidRDefault="00B02913">
      <w:pPr>
        <w:numPr>
          <w:ilvl w:val="0"/>
          <w:numId w:val="6"/>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Adaptability</w:t>
      </w:r>
      <w:r>
        <w:rPr>
          <w:rFonts w:ascii="Times New Roman" w:hAnsi="Times New Roman" w:cs="Times New Roman"/>
          <w:sz w:val="24"/>
          <w:szCs w:val="24"/>
        </w:rPr>
        <w:t xml:space="preserve"> – Ability to update or re-train based on changing project dynamics.</w:t>
      </w:r>
    </w:p>
    <w:p w:rsidR="0038571C" w:rsidRDefault="0038571C">
      <w:pPr>
        <w:spacing w:after="0" w:line="240" w:lineRule="auto"/>
        <w:jc w:val="both"/>
        <w:rPr>
          <w:rFonts w:ascii="Times New Roman" w:hAnsi="Times New Roman" w:cs="Times New Roman"/>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Table 2. Evaluation Criteria for AI Tools in Project Risk Management</w:t>
      </w:r>
    </w:p>
    <w:tbl>
      <w:tblPr>
        <w:tblStyle w:val="TableGrid"/>
        <w:tblW w:w="0" w:type="auto"/>
        <w:tblLook w:val="04A0" w:firstRow="1" w:lastRow="0" w:firstColumn="1" w:lastColumn="0" w:noHBand="0" w:noVBand="1"/>
      </w:tblPr>
      <w:tblGrid>
        <w:gridCol w:w="1656"/>
        <w:gridCol w:w="4926"/>
        <w:gridCol w:w="2480"/>
      </w:tblGrid>
      <w:tr w:rsidR="0038571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Criterion</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Descri</w:t>
            </w:r>
            <w:r>
              <w:rPr>
                <w:rFonts w:ascii="Times New Roman" w:hAnsi="Times New Roman" w:cs="Times New Roman"/>
                <w:b/>
                <w:bCs/>
                <w:sz w:val="24"/>
                <w:szCs w:val="24"/>
              </w:rPr>
              <w:t>ption</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Importance Level (1–5)</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Accuracy</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Risk prediction/classification reliability</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Scalability</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Applicability across diverse projects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Interpretability</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Clarity and transparency of outputs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Integration</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Ease of embedding into project tools and workflows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Adaptability</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Real-time updates and model retraining capabilities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r>
    </w:tbl>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3.4 Data Sources and Sampling</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Data was collected from:</w:t>
      </w:r>
    </w:p>
    <w:p w:rsidR="0038571C" w:rsidRDefault="00B02913">
      <w:pPr>
        <w:numPr>
          <w:ilvl w:val="0"/>
          <w:numId w:val="7"/>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Peer-reviewed publications and case studies (2018–2024)</w:t>
      </w:r>
    </w:p>
    <w:p w:rsidR="0038571C" w:rsidRDefault="00B02913">
      <w:pPr>
        <w:numPr>
          <w:ilvl w:val="0"/>
          <w:numId w:val="7"/>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Interviews with 12 project managers across construction and IT sectors</w:t>
      </w:r>
    </w:p>
    <w:p w:rsidR="0038571C" w:rsidRDefault="00B02913">
      <w:pPr>
        <w:numPr>
          <w:ilvl w:val="0"/>
          <w:numId w:val="7"/>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Performance reports from AI tool providers</w:t>
      </w:r>
    </w:p>
    <w:p w:rsidR="0038571C" w:rsidRDefault="00B02913">
      <w:pPr>
        <w:numPr>
          <w:ilvl w:val="0"/>
          <w:numId w:val="7"/>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Open-source project datasets and benchmarks</w:t>
      </w:r>
    </w:p>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Table 3. Summary of Data Sources</w:t>
      </w:r>
    </w:p>
    <w:tbl>
      <w:tblPr>
        <w:tblStyle w:val="TableGrid"/>
        <w:tblW w:w="0" w:type="auto"/>
        <w:tblLook w:val="04A0" w:firstRow="1" w:lastRow="0" w:firstColumn="1" w:lastColumn="0" w:noHBand="0" w:noVBand="1"/>
      </w:tblPr>
      <w:tblGrid>
        <w:gridCol w:w="2152"/>
        <w:gridCol w:w="3775"/>
        <w:gridCol w:w="3135"/>
      </w:tblGrid>
      <w:tr w:rsidR="0038571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Source Type</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Count/Description</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Purpose</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Academic Papers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 peer-reviewed studies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Theoretical foundation</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Industry Interviews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senior p</w:t>
            </w:r>
            <w:r>
              <w:rPr>
                <w:rFonts w:ascii="Times New Roman" w:hAnsi="Times New Roman" w:cs="Times New Roman"/>
                <w:sz w:val="24"/>
                <w:szCs w:val="24"/>
              </w:rPr>
              <w:t>roject managers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Practical insights and validation</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Tool Provider Reports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proprietary platforms analyzed</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Functional performance data</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Open Datasets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datasets (construction, IT, PPP sectors)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Model training and benchmarking</w:t>
            </w:r>
          </w:p>
        </w:tc>
      </w:tr>
    </w:tbl>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3.5 Tool Selection and </w:t>
      </w:r>
      <w:r>
        <w:rPr>
          <w:rFonts w:ascii="Times New Roman" w:hAnsi="Times New Roman" w:cs="Times New Roman"/>
          <w:b/>
          <w:bCs/>
          <w:sz w:val="24"/>
          <w:szCs w:val="24"/>
        </w:rPr>
        <w:t>Comparative Evaluation</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From the long list of AI tools, five were selected for comparative evaluation due to their frequency in academic and industrial use:</w:t>
      </w:r>
    </w:p>
    <w:p w:rsidR="0038571C" w:rsidRDefault="00B02913">
      <w:pPr>
        <w:numPr>
          <w:ilvl w:val="0"/>
          <w:numId w:val="8"/>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RiskAI-Pro</w:t>
      </w:r>
      <w:r>
        <w:rPr>
          <w:rFonts w:ascii="Times New Roman" w:hAnsi="Times New Roman" w:cs="Times New Roman"/>
          <w:sz w:val="24"/>
          <w:szCs w:val="24"/>
        </w:rPr>
        <w:t xml:space="preserve"> (commercial ML-based risk analyzer)</w:t>
      </w:r>
    </w:p>
    <w:p w:rsidR="0038571C" w:rsidRDefault="00B02913">
      <w:pPr>
        <w:numPr>
          <w:ilvl w:val="0"/>
          <w:numId w:val="8"/>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RiskNLP</w:t>
      </w:r>
      <w:r>
        <w:rPr>
          <w:rFonts w:ascii="Times New Roman" w:hAnsi="Times New Roman" w:cs="Times New Roman"/>
          <w:sz w:val="24"/>
          <w:szCs w:val="24"/>
        </w:rPr>
        <w:t xml:space="preserve"> (open-source NLP model for document scanning)</w:t>
      </w:r>
    </w:p>
    <w:p w:rsidR="0038571C" w:rsidRDefault="00B02913">
      <w:pPr>
        <w:numPr>
          <w:ilvl w:val="0"/>
          <w:numId w:val="8"/>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SmartRisk</w:t>
      </w:r>
      <w:r>
        <w:rPr>
          <w:rFonts w:ascii="Times New Roman" w:hAnsi="Times New Roman" w:cs="Times New Roman"/>
          <w:sz w:val="24"/>
          <w:szCs w:val="24"/>
        </w:rPr>
        <w:t xml:space="preserve"> (cloud-based ensemble AI risk tool)</w:t>
      </w:r>
    </w:p>
    <w:p w:rsidR="0038571C" w:rsidRDefault="00B02913">
      <w:pPr>
        <w:numPr>
          <w:ilvl w:val="0"/>
          <w:numId w:val="8"/>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FuzzyRiskMod</w:t>
      </w:r>
      <w:r>
        <w:rPr>
          <w:rFonts w:ascii="Times New Roman" w:hAnsi="Times New Roman" w:cs="Times New Roman"/>
          <w:sz w:val="24"/>
          <w:szCs w:val="24"/>
        </w:rPr>
        <w:t xml:space="preserve"> (academic fuzzy logic prototype)</w:t>
      </w:r>
    </w:p>
    <w:p w:rsidR="0038571C" w:rsidRDefault="00B02913">
      <w:pPr>
        <w:numPr>
          <w:ilvl w:val="0"/>
          <w:numId w:val="8"/>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ReACT-Risk</w:t>
      </w:r>
      <w:r>
        <w:rPr>
          <w:rFonts w:ascii="Times New Roman" w:hAnsi="Times New Roman" w:cs="Times New Roman"/>
          <w:sz w:val="24"/>
          <w:szCs w:val="24"/>
        </w:rPr>
        <w:t xml:space="preserve"> (adaptive RL model for execution phase)</w:t>
      </w:r>
    </w:p>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Table 4. Comparative Performance of AI Tools (Normalized Scores 0–10)</w:t>
      </w:r>
    </w:p>
    <w:tbl>
      <w:tblPr>
        <w:tblStyle w:val="TableGrid"/>
        <w:tblW w:w="0" w:type="auto"/>
        <w:tblLook w:val="04A0" w:firstRow="1" w:lastRow="0" w:firstColumn="1" w:lastColumn="0" w:noHBand="0" w:noVBand="1"/>
      </w:tblPr>
      <w:tblGrid>
        <w:gridCol w:w="1585"/>
        <w:gridCol w:w="1116"/>
        <w:gridCol w:w="1696"/>
        <w:gridCol w:w="1216"/>
        <w:gridCol w:w="1289"/>
        <w:gridCol w:w="1413"/>
        <w:gridCol w:w="747"/>
      </w:tblGrid>
      <w:tr w:rsidR="0038571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Tool Name</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Accuracy</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Interpretability</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Scalability</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Integration</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Adaptability</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Total Score</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RiskAI-Pro</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6.5</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8.5</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39.0</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RiskNLP</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6.5</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36.5</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SmartRisk</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8.5</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7.5</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41.0</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FuzzyRiskMod</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6.5</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8.5</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5.5</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31.5</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ReACT-Risk</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7.5</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7.5</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37.0</w:t>
            </w:r>
          </w:p>
        </w:tc>
      </w:tr>
    </w:tbl>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731510" cy="4914265"/>
            <wp:effectExtent l="0" t="0" r="2540" b="635"/>
            <wp:docPr id="1618746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46500" name="Picture 1"/>
                    <pic:cNvPicPr>
                      <a:picLocks noChangeAspect="1"/>
                    </pic:cNvPicPr>
                  </pic:nvPicPr>
                  <pic:blipFill>
                    <a:blip r:embed="rId8" cstate="print">
                      <a:extLst>
                        <a:ext uri="{BEBA8EAE-BF5A-486C-A8C5-ECC9F3942E4B}">
                          <a14:imgProps xmlns:a14="http://schemas.microsoft.com/office/drawing/2010/main">
                            <a14:imgLayer r:embed="rId9">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731510" cy="4914265"/>
                    </a:xfrm>
                    <a:prstGeom prst="rect">
                      <a:avLst/>
                    </a:prstGeom>
                  </pic:spPr>
                </pic:pic>
              </a:graphicData>
            </a:graphic>
          </wp:inline>
        </w:drawing>
      </w:r>
    </w:p>
    <w:p w:rsidR="0038571C" w:rsidRDefault="00B029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Figure 1: </w:t>
      </w:r>
      <w:r>
        <w:rPr>
          <w:rFonts w:ascii="Times New Roman" w:hAnsi="Times New Roman" w:cs="Times New Roman"/>
          <w:sz w:val="24"/>
          <w:szCs w:val="24"/>
        </w:rPr>
        <w:t>Performance Comparison of AI Risk Assessment Tools</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This radar chart visualizes the relative strengths of each tool across five evaluation criteria: Accuracy, Interpretability, Scalability, Integration, and Adaptability.</w:t>
      </w:r>
    </w:p>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3.6 Analysis Techniques</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Quantitativ</w:t>
      </w:r>
      <w:r>
        <w:rPr>
          <w:rFonts w:ascii="Times New Roman" w:hAnsi="Times New Roman" w:cs="Times New Roman"/>
          <w:sz w:val="24"/>
          <w:szCs w:val="24"/>
        </w:rPr>
        <w:t>e data was analyzed using normalized scoring and weighted averages based on the importance of each evaluation criterion (as indicated in Table 2). Qualitative insights from interviews were coded and categorized using grounded theory techniques.</w:t>
      </w:r>
    </w:p>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Table 5. W</w:t>
      </w:r>
      <w:r>
        <w:rPr>
          <w:rFonts w:ascii="Times New Roman" w:hAnsi="Times New Roman" w:cs="Times New Roman"/>
          <w:b/>
          <w:bCs/>
          <w:sz w:val="24"/>
          <w:szCs w:val="24"/>
        </w:rPr>
        <w:t>eighting of Evaluation Dimensions</w:t>
      </w:r>
    </w:p>
    <w:tbl>
      <w:tblPr>
        <w:tblStyle w:val="TableGrid"/>
        <w:tblW w:w="0" w:type="auto"/>
        <w:tblLook w:val="04A0" w:firstRow="1" w:lastRow="0" w:firstColumn="1" w:lastColumn="0" w:noHBand="0" w:noVBand="1"/>
      </w:tblPr>
      <w:tblGrid>
        <w:gridCol w:w="2490"/>
        <w:gridCol w:w="1423"/>
      </w:tblGrid>
      <w:tr w:rsidR="0038571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Evaluation Dimension</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Weight (%)</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Accuracy</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Scalability</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Interpretability</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Integration</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Adaptability</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r>
    </w:tbl>
    <w:p w:rsidR="0038571C" w:rsidRDefault="0038571C">
      <w:pPr>
        <w:spacing w:after="0" w:line="240" w:lineRule="auto"/>
        <w:jc w:val="both"/>
        <w:rPr>
          <w:rFonts w:ascii="Times New Roman" w:hAnsi="Times New Roman" w:cs="Times New Roman"/>
          <w:sz w:val="24"/>
          <w:szCs w:val="24"/>
        </w:rPr>
      </w:pP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These weights were used to compute the total scores shown in Table 4.</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methodology employed in </w:t>
      </w:r>
      <w:r>
        <w:rPr>
          <w:rFonts w:ascii="Times New Roman" w:hAnsi="Times New Roman" w:cs="Times New Roman"/>
          <w:sz w:val="24"/>
          <w:szCs w:val="24"/>
        </w:rPr>
        <w:t xml:space="preserve">this study offers a robust and multi-faceted view of how AI tools perform in various risk management tasks. By combining model evaluation, user feedback, and </w:t>
      </w:r>
      <w:r>
        <w:rPr>
          <w:rFonts w:ascii="Times New Roman" w:hAnsi="Times New Roman" w:cs="Times New Roman"/>
          <w:sz w:val="24"/>
          <w:szCs w:val="24"/>
        </w:rPr>
        <w:lastRenderedPageBreak/>
        <w:t xml:space="preserve">real-world data analysis, the approach ensures that both theoretical and practical dimensions are </w:t>
      </w:r>
      <w:r>
        <w:rPr>
          <w:rFonts w:ascii="Times New Roman" w:hAnsi="Times New Roman" w:cs="Times New Roman"/>
          <w:sz w:val="24"/>
          <w:szCs w:val="24"/>
        </w:rPr>
        <w:t>accounted for. The next section builds on this framework by presenting an in-depth analysis of each AI tool, including use cases, technical architecture, and risk prediction results.</w:t>
      </w:r>
    </w:p>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 Analysis of AI-Based Risk Assessment Tools</w:t>
      </w:r>
      <w:r>
        <w:rPr>
          <w:rFonts w:ascii="Times New Roman" w:hAnsi="Times New Roman" w:cs="Times New Roman"/>
          <w:b/>
          <w:bCs/>
          <w:sz w:val="24"/>
          <w:szCs w:val="24"/>
        </w:rPr>
        <w:t>:</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This section provides an </w:t>
      </w:r>
      <w:r>
        <w:rPr>
          <w:rFonts w:ascii="Times New Roman" w:hAnsi="Times New Roman" w:cs="Times New Roman"/>
          <w:sz w:val="24"/>
          <w:szCs w:val="24"/>
        </w:rPr>
        <w:t>in-depth evaluation of five prominent AI-based risk assessment tools based on technical capabilities, domain applicability, integration potential, and real-world effectiveness. Each tool was analyzed against five core evaluation criteria derived from indus</w:t>
      </w:r>
      <w:r>
        <w:rPr>
          <w:rFonts w:ascii="Times New Roman" w:hAnsi="Times New Roman" w:cs="Times New Roman"/>
          <w:sz w:val="24"/>
          <w:szCs w:val="24"/>
        </w:rPr>
        <w:t>try needs and project management standards.</w:t>
      </w:r>
    </w:p>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4.1 Comparative Scoring Summary</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Using weighted scoring (based on Table 2 criteria weights), the tools were evaluated across all five dimensions. Table 4 previously provided the normalized scores, and Table 6 </w:t>
      </w:r>
      <w:r>
        <w:rPr>
          <w:rFonts w:ascii="Times New Roman" w:hAnsi="Times New Roman" w:cs="Times New Roman"/>
          <w:sz w:val="24"/>
          <w:szCs w:val="24"/>
        </w:rPr>
        <w:t>below calculates the weighted total score.</w:t>
      </w:r>
    </w:p>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Table 6. Weighted Score Comparison of AI Tools</w:t>
      </w:r>
    </w:p>
    <w:tbl>
      <w:tblPr>
        <w:tblStyle w:val="TableGrid"/>
        <w:tblW w:w="0" w:type="auto"/>
        <w:tblLook w:val="04A0" w:firstRow="1" w:lastRow="0" w:firstColumn="1" w:lastColumn="0" w:noHBand="0" w:noVBand="1"/>
      </w:tblPr>
      <w:tblGrid>
        <w:gridCol w:w="1585"/>
        <w:gridCol w:w="1116"/>
        <w:gridCol w:w="1216"/>
        <w:gridCol w:w="1696"/>
        <w:gridCol w:w="1289"/>
        <w:gridCol w:w="1413"/>
        <w:gridCol w:w="747"/>
      </w:tblGrid>
      <w:tr w:rsidR="0038571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Tool Name</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Accuracy (30%)</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Scalability (20%)</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Interpretability (20%)</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Integration (10%)</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Adaptability (20%)</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Total Score</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RiskAI-Pro</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0.85</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7.85</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RiskNLP</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0.70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7.40</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SmartRisk</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2.55</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0.90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8.15</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FuzzyRiskMod</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1.95</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0.60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6.35</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ReACT-Risk</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2.25</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0.75</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7.40</w:t>
            </w:r>
          </w:p>
        </w:tc>
      </w:tr>
    </w:tbl>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Insight</w:t>
      </w:r>
      <w:r>
        <w:rPr>
          <w:rFonts w:ascii="Times New Roman" w:hAnsi="Times New Roman" w:cs="Times New Roman"/>
          <w:sz w:val="24"/>
          <w:szCs w:val="24"/>
        </w:rPr>
        <w:t xml:space="preserve">: SmartRisk outperforms all others due to its balanced performance, particularly in </w:t>
      </w:r>
      <w:r>
        <w:rPr>
          <w:rFonts w:ascii="Times New Roman" w:hAnsi="Times New Roman" w:cs="Times New Roman"/>
          <w:sz w:val="24"/>
          <w:szCs w:val="24"/>
        </w:rPr>
        <w:t>adaptability and scalability, followed closely by RiskAI-Pro.</w:t>
      </w:r>
    </w:p>
    <w:p w:rsidR="0038571C" w:rsidRDefault="00B02913">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731510" cy="4696460"/>
            <wp:effectExtent l="0" t="0" r="2540" b="8890"/>
            <wp:docPr id="8699632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963207" name="Picture 6"/>
                    <pic:cNvPicPr>
                      <a:picLocks noChangeAspect="1"/>
                    </pic:cNvPicPr>
                  </pic:nvPicPr>
                  <pic:blipFill>
                    <a:blip r:embed="rId10">
                      <a:extLst>
                        <a:ext uri="{BEBA8EAE-BF5A-486C-A8C5-ECC9F3942E4B}">
                          <a14:imgProps xmlns:a14="http://schemas.microsoft.com/office/drawing/2010/main">
                            <a14:imgLayer r:embed="rId11">
                              <a14:imgEffect>
                                <a14:saturation sat="400000"/>
                              </a14:imgEffect>
                            </a14:imgLayer>
                          </a14:imgProps>
                        </a:ext>
                        <a:ext uri="{28A0092B-C50C-407E-A947-70E740481C1C}">
                          <a14:useLocalDpi xmlns:a14="http://schemas.microsoft.com/office/drawing/2010/main" val="0"/>
                        </a:ext>
                      </a:extLst>
                    </a:blip>
                    <a:srcRect t="7503"/>
                    <a:stretch>
                      <a:fillRect/>
                    </a:stretch>
                  </pic:blipFill>
                  <pic:spPr>
                    <a:xfrm>
                      <a:off x="0" y="0"/>
                      <a:ext cx="5731510" cy="4696460"/>
                    </a:xfrm>
                    <a:prstGeom prst="rect">
                      <a:avLst/>
                    </a:prstGeom>
                    <a:ln>
                      <a:noFill/>
                    </a:ln>
                  </pic:spPr>
                </pic:pic>
              </a:graphicData>
            </a:graphic>
          </wp:inline>
        </w:drawing>
      </w:r>
    </w:p>
    <w:p w:rsidR="0038571C" w:rsidRDefault="00B029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Figure 2: Weight Distribution of Evaluation Criteria</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This bar chart illustrates the relative importance assigned to each evaluation criterion used to assess AI-based risk assessment tools. Acc</w:t>
      </w:r>
      <w:r>
        <w:rPr>
          <w:rFonts w:ascii="Times New Roman" w:hAnsi="Times New Roman" w:cs="Times New Roman"/>
          <w:sz w:val="24"/>
          <w:szCs w:val="24"/>
        </w:rPr>
        <w:t>uracy carries the highest weight at 30%, followed by equal weights of 20% for Scalability, Interpretability, and Adaptability.</w:t>
      </w:r>
    </w:p>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4.2 Domain Adaptability and Use Cases</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Table 7 summarizes the adaptability of each tool across domains such as construction, IT, </w:t>
      </w:r>
      <w:r>
        <w:rPr>
          <w:rFonts w:ascii="Times New Roman" w:hAnsi="Times New Roman" w:cs="Times New Roman"/>
          <w:sz w:val="24"/>
          <w:szCs w:val="24"/>
        </w:rPr>
        <w:t>infrastructure, and hybrid project environments.</w:t>
      </w:r>
    </w:p>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Table 7. Domain Suitability of Tools</w:t>
      </w:r>
    </w:p>
    <w:tbl>
      <w:tblPr>
        <w:tblStyle w:val="TableGrid"/>
        <w:tblW w:w="0" w:type="auto"/>
        <w:tblLook w:val="04A0" w:firstRow="1" w:lastRow="0" w:firstColumn="1" w:lastColumn="0" w:noHBand="0" w:noVBand="1"/>
      </w:tblPr>
      <w:tblGrid>
        <w:gridCol w:w="1697"/>
        <w:gridCol w:w="1563"/>
        <w:gridCol w:w="1285"/>
        <w:gridCol w:w="1696"/>
        <w:gridCol w:w="1491"/>
        <w:gridCol w:w="1330"/>
      </w:tblGrid>
      <w:tr w:rsidR="0038571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Tool Name</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Construction</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IT Projects</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Infrastructure</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Agile Projects</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PPP Models</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RiskAI-Pro</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RiskNLP</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SmartRisk</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FuzzyRiskMod</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ReACT-Risk</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bl>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xml:space="preserve"> = Highly compatible; ✓ = Compatible; ✗ = Not recommended</w:t>
      </w:r>
    </w:p>
    <w:p w:rsidR="0038571C" w:rsidRDefault="00B02913">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731510" cy="3923665"/>
            <wp:effectExtent l="0" t="0" r="2540" b="635"/>
            <wp:docPr id="3543499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349942" name="Picture 7"/>
                    <pic:cNvPicPr>
                      <a:picLocks noChangeAspect="1"/>
                    </pic:cNvPicPr>
                  </pic:nvPicPr>
                  <pic:blipFill>
                    <a:blip r:embed="rId12" cstate="print">
                      <a:extLst>
                        <a:ext uri="{BEBA8EAE-BF5A-486C-A8C5-ECC9F3942E4B}">
                          <a14:imgProps xmlns:a14="http://schemas.microsoft.com/office/drawing/2010/main">
                            <a14:imgLayer r:embed="rId13">
                              <a14:imgEffect>
                                <a14:saturation sat="400000"/>
                              </a14:imgEffect>
                            </a14:imgLayer>
                          </a14:imgProps>
                        </a:ext>
                        <a:ext uri="{28A0092B-C50C-407E-A947-70E740481C1C}">
                          <a14:useLocalDpi xmlns:a14="http://schemas.microsoft.com/office/drawing/2010/main" val="0"/>
                        </a:ext>
                      </a:extLst>
                    </a:blip>
                    <a:srcRect t="4453"/>
                    <a:stretch>
                      <a:fillRect/>
                    </a:stretch>
                  </pic:blipFill>
                  <pic:spPr>
                    <a:xfrm>
                      <a:off x="0" y="0"/>
                      <a:ext cx="5731510" cy="3923665"/>
                    </a:xfrm>
                    <a:prstGeom prst="rect">
                      <a:avLst/>
                    </a:prstGeom>
                    <a:ln>
                      <a:noFill/>
                    </a:ln>
                  </pic:spPr>
                </pic:pic>
              </a:graphicData>
            </a:graphic>
          </wp:inline>
        </w:drawing>
      </w:r>
    </w:p>
    <w:p w:rsidR="0038571C" w:rsidRDefault="00B029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Figure 3: Domain Adaptability of AI Risk Assessment Tools</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This stacked bar chart visualizes how well each AI tool adapts to various project domains, with scores </w:t>
      </w:r>
      <w:r>
        <w:rPr>
          <w:rFonts w:ascii="Times New Roman" w:hAnsi="Times New Roman" w:cs="Times New Roman"/>
          <w:sz w:val="24"/>
          <w:szCs w:val="24"/>
        </w:rPr>
        <w:t>representing levels of compatibility (✓ = 1, ✓✓ = 2, ✗ = 0).</w:t>
      </w:r>
    </w:p>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4.3 Integration Capabilities with PM Software</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Table 8 outlines the compatibility of AI tools with mainstream project management platforms like Primavera, MS Project, JIRA, and BIM tools.</w:t>
      </w:r>
    </w:p>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Table </w:t>
      </w:r>
      <w:r>
        <w:rPr>
          <w:rFonts w:ascii="Times New Roman" w:hAnsi="Times New Roman" w:cs="Times New Roman"/>
          <w:b/>
          <w:bCs/>
          <w:sz w:val="24"/>
          <w:szCs w:val="24"/>
        </w:rPr>
        <w:t>8. Software Integration Compatibility</w:t>
      </w:r>
    </w:p>
    <w:tbl>
      <w:tblPr>
        <w:tblStyle w:val="TableGrid"/>
        <w:tblW w:w="0" w:type="auto"/>
        <w:tblLook w:val="04A0" w:firstRow="1" w:lastRow="0" w:firstColumn="1" w:lastColumn="0" w:noHBand="0" w:noVBand="1"/>
      </w:tblPr>
      <w:tblGrid>
        <w:gridCol w:w="1697"/>
        <w:gridCol w:w="1309"/>
        <w:gridCol w:w="1383"/>
        <w:gridCol w:w="777"/>
        <w:gridCol w:w="1317"/>
        <w:gridCol w:w="1757"/>
      </w:tblGrid>
      <w:tr w:rsidR="0038571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Tool Name</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Primavera</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MS Project</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JIRA</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BIM Tools</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APIs Available</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RiskAI-Pro</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Yes</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RiskNLP</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Yes</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SmartRisk</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Yes</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FuzzyRiskMod</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ReACT-Risk</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Yes</w:t>
            </w:r>
          </w:p>
        </w:tc>
      </w:tr>
    </w:tbl>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4.4 Technical Architecture </w:t>
      </w:r>
      <w:r>
        <w:rPr>
          <w:rFonts w:ascii="Times New Roman" w:hAnsi="Times New Roman" w:cs="Times New Roman"/>
          <w:b/>
          <w:bCs/>
          <w:sz w:val="24"/>
          <w:szCs w:val="24"/>
        </w:rPr>
        <w:t>Summary</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internal architecture and modeling approach of each AI tool are described in Table 9.</w:t>
      </w:r>
    </w:p>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Table 9. AI Modeling Techniques and Architecture</w:t>
      </w:r>
    </w:p>
    <w:tbl>
      <w:tblPr>
        <w:tblStyle w:val="TableGrid"/>
        <w:tblW w:w="0" w:type="auto"/>
        <w:tblLook w:val="04A0" w:firstRow="1" w:lastRow="0" w:firstColumn="1" w:lastColumn="0" w:noHBand="0" w:noVBand="1"/>
      </w:tblPr>
      <w:tblGrid>
        <w:gridCol w:w="1698"/>
        <w:gridCol w:w="2043"/>
        <w:gridCol w:w="2081"/>
        <w:gridCol w:w="1627"/>
        <w:gridCol w:w="1613"/>
      </w:tblGrid>
      <w:tr w:rsidR="0038571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Tool Name</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Primary AI Model</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Architecture Type</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Real-Time Learning</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Model Retraining</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RiskAI-Pro</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Gradient </w:t>
            </w:r>
            <w:r>
              <w:rPr>
                <w:rFonts w:ascii="Times New Roman" w:hAnsi="Times New Roman" w:cs="Times New Roman"/>
                <w:sz w:val="24"/>
                <w:szCs w:val="24"/>
              </w:rPr>
              <w:t>Boosted Trees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Cloud-hosted API</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Periodic</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RiskNLP</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NLP + Rule-based Logic</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Local + API hybrid</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Manual</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SmartRisk</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Ensemble ML</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Fully Cloud-native</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Yes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Automatic</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FuzzyRiskMod</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Fuzzy Inference Sys.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Standalone</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Manual</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ReACT-Risk</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Reinforcement Learning</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Modular ML microservices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Yes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Dynamic</w:t>
            </w:r>
          </w:p>
        </w:tc>
      </w:tr>
    </w:tbl>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4.5 User Feedback Analysis</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Based on structured interviews with 12 project managers across domains, Table 10 summarizes qualitative feedback.</w:t>
      </w:r>
    </w:p>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Table 10. User Experience &amp; Satisfaction Ratings (1–5)</w:t>
      </w:r>
    </w:p>
    <w:tbl>
      <w:tblPr>
        <w:tblStyle w:val="TableGrid"/>
        <w:tblW w:w="0" w:type="auto"/>
        <w:tblLook w:val="04A0" w:firstRow="1" w:lastRow="0" w:firstColumn="1" w:lastColumn="0" w:noHBand="0" w:noVBand="1"/>
      </w:tblPr>
      <w:tblGrid>
        <w:gridCol w:w="1697"/>
        <w:gridCol w:w="1377"/>
        <w:gridCol w:w="1840"/>
        <w:gridCol w:w="2124"/>
        <w:gridCol w:w="2024"/>
      </w:tblGrid>
      <w:tr w:rsidR="0038571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Tool Name</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Ease of Us</w:t>
            </w:r>
            <w:r>
              <w:rPr>
                <w:rFonts w:ascii="Times New Roman" w:hAnsi="Times New Roman" w:cs="Times New Roman"/>
                <w:b/>
                <w:bCs/>
                <w:sz w:val="24"/>
                <w:szCs w:val="24"/>
              </w:rPr>
              <w:t>e</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Trust in Results</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Training Required</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Satisfaction Level</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RiskAI-Pro</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4.0</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3.8</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RiskNLP</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4.5</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4.6</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4.3</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SmartRisk</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4.3</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4.4</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FuzzyRiskMod</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3.5</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4.5</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ReACT-Risk</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3.9</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4.3</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3.5</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4.0</w:t>
            </w:r>
          </w:p>
        </w:tc>
      </w:tr>
    </w:tbl>
    <w:p w:rsidR="0038571C" w:rsidRDefault="0038571C">
      <w:pPr>
        <w:spacing w:after="0" w:line="240" w:lineRule="auto"/>
        <w:jc w:val="both"/>
        <w:rPr>
          <w:rFonts w:ascii="Times New Roman" w:hAnsi="Times New Roman" w:cs="Times New Roman"/>
          <w:sz w:val="24"/>
          <w:szCs w:val="24"/>
        </w:rPr>
      </w:pPr>
    </w:p>
    <w:p w:rsidR="0038571C" w:rsidRDefault="00B02913">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31510" cy="4665980"/>
            <wp:effectExtent l="0" t="0" r="2540" b="1270"/>
            <wp:docPr id="652270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270028" name="Picture 4"/>
                    <pic:cNvPicPr>
                      <a:picLocks noChangeAspect="1"/>
                    </pic:cNvPicPr>
                  </pic:nvPicPr>
                  <pic:blipFill>
                    <a:blip r:embed="rId14">
                      <a:extLst>
                        <a:ext uri="{BEBA8EAE-BF5A-486C-A8C5-ECC9F3942E4B}">
                          <a14:imgProps xmlns:a14="http://schemas.microsoft.com/office/drawing/2010/main">
                            <a14:imgLayer r:embed="rId15">
                              <a14:imgEffect>
                                <a14:saturation sat="400000"/>
                              </a14:imgEffect>
                            </a14:imgLayer>
                          </a14:imgProps>
                        </a:ext>
                        <a:ext uri="{28A0092B-C50C-407E-A947-70E740481C1C}">
                          <a14:useLocalDpi xmlns:a14="http://schemas.microsoft.com/office/drawing/2010/main" val="0"/>
                        </a:ext>
                      </a:extLst>
                    </a:blip>
                    <a:srcRect t="7269"/>
                    <a:stretch>
                      <a:fillRect/>
                    </a:stretch>
                  </pic:blipFill>
                  <pic:spPr>
                    <a:xfrm>
                      <a:off x="0" y="0"/>
                      <a:ext cx="5731510" cy="4665980"/>
                    </a:xfrm>
                    <a:prstGeom prst="rect">
                      <a:avLst/>
                    </a:prstGeom>
                    <a:ln>
                      <a:noFill/>
                    </a:ln>
                  </pic:spPr>
                </pic:pic>
              </a:graphicData>
            </a:graphic>
          </wp:inline>
        </w:drawing>
      </w:r>
    </w:p>
    <w:p w:rsidR="0038571C" w:rsidRDefault="00B029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Figure 4: Weighted Score Comparison of AI Tools</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This chart</w:t>
      </w:r>
      <w:r>
        <w:rPr>
          <w:rFonts w:ascii="Times New Roman" w:hAnsi="Times New Roman" w:cs="Times New Roman"/>
          <w:sz w:val="24"/>
          <w:szCs w:val="24"/>
        </w:rPr>
        <w:t xml:space="preserve"> presents the final weighted scores of each AI-based risk assessment tool, highlighting SmartRisk as the top performer based on five critical criteria.</w:t>
      </w:r>
    </w:p>
    <w:p w:rsidR="0038571C" w:rsidRDefault="0038571C">
      <w:pPr>
        <w:spacing w:after="0" w:line="240" w:lineRule="auto"/>
        <w:jc w:val="both"/>
        <w:rPr>
          <w:rFonts w:ascii="Times New Roman" w:hAnsi="Times New Roman" w:cs="Times New Roman"/>
          <w:sz w:val="24"/>
          <w:szCs w:val="24"/>
        </w:rPr>
      </w:pP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comprehensive analysis presented in this section underscores the pivotal role that AI-based tools c</w:t>
      </w:r>
      <w:r>
        <w:rPr>
          <w:rFonts w:ascii="Times New Roman" w:hAnsi="Times New Roman" w:cs="Times New Roman"/>
          <w:sz w:val="24"/>
          <w:szCs w:val="24"/>
        </w:rPr>
        <w:t>an play in enhancing risk assessment during project planning and execution. Through a multifaceted evaluation—including technical performance, domain adaptability, integration capabilities, and user experience—</w:t>
      </w:r>
      <w:r>
        <w:rPr>
          <w:rFonts w:ascii="Times New Roman" w:hAnsi="Times New Roman" w:cs="Times New Roman"/>
          <w:b/>
          <w:bCs/>
          <w:sz w:val="24"/>
          <w:szCs w:val="24"/>
        </w:rPr>
        <w:t>SmartRisk</w:t>
      </w:r>
      <w:r>
        <w:rPr>
          <w:rFonts w:ascii="Times New Roman" w:hAnsi="Times New Roman" w:cs="Times New Roman"/>
          <w:sz w:val="24"/>
          <w:szCs w:val="24"/>
        </w:rPr>
        <w:t xml:space="preserve"> emerges as the most well-rounded sol</w:t>
      </w:r>
      <w:r>
        <w:rPr>
          <w:rFonts w:ascii="Times New Roman" w:hAnsi="Times New Roman" w:cs="Times New Roman"/>
          <w:sz w:val="24"/>
          <w:szCs w:val="24"/>
        </w:rPr>
        <w:t xml:space="preserve">ution, offering a balance of scalability, automation, and broad domain applicability. While tools like </w:t>
      </w:r>
      <w:r>
        <w:rPr>
          <w:rFonts w:ascii="Times New Roman" w:hAnsi="Times New Roman" w:cs="Times New Roman"/>
          <w:b/>
          <w:bCs/>
          <w:sz w:val="24"/>
          <w:szCs w:val="24"/>
        </w:rPr>
        <w:t>RiskAI-Pro</w:t>
      </w:r>
      <w:r>
        <w:rPr>
          <w:rFonts w:ascii="Times New Roman" w:hAnsi="Times New Roman" w:cs="Times New Roman"/>
          <w:sz w:val="24"/>
          <w:szCs w:val="24"/>
        </w:rPr>
        <w:t xml:space="preserve"> and </w:t>
      </w:r>
      <w:r>
        <w:rPr>
          <w:rFonts w:ascii="Times New Roman" w:hAnsi="Times New Roman" w:cs="Times New Roman"/>
          <w:b/>
          <w:bCs/>
          <w:sz w:val="24"/>
          <w:szCs w:val="24"/>
        </w:rPr>
        <w:t>RiskNLP</w:t>
      </w:r>
      <w:r>
        <w:rPr>
          <w:rFonts w:ascii="Times New Roman" w:hAnsi="Times New Roman" w:cs="Times New Roman"/>
          <w:sz w:val="24"/>
          <w:szCs w:val="24"/>
        </w:rPr>
        <w:t xml:space="preserve"> perform admirably in specific areas such as accuracy and interpretability, others such as </w:t>
      </w:r>
      <w:r>
        <w:rPr>
          <w:rFonts w:ascii="Times New Roman" w:hAnsi="Times New Roman" w:cs="Times New Roman"/>
          <w:b/>
          <w:bCs/>
          <w:sz w:val="24"/>
          <w:szCs w:val="24"/>
        </w:rPr>
        <w:t>FuzzyRiskMod</w:t>
      </w:r>
      <w:r>
        <w:rPr>
          <w:rFonts w:ascii="Times New Roman" w:hAnsi="Times New Roman" w:cs="Times New Roman"/>
          <w:sz w:val="24"/>
          <w:szCs w:val="24"/>
        </w:rPr>
        <w:t xml:space="preserve"> show limited versatility, p</w:t>
      </w:r>
      <w:r>
        <w:rPr>
          <w:rFonts w:ascii="Times New Roman" w:hAnsi="Times New Roman" w:cs="Times New Roman"/>
          <w:sz w:val="24"/>
          <w:szCs w:val="24"/>
        </w:rPr>
        <w:t>articularly in modern agile or integrated digital environments. These findings not only validate the growing maturity of AI technologies in project risk management but also highlight the need for further optimization in areas like integration with PM softw</w:t>
      </w:r>
      <w:r>
        <w:rPr>
          <w:rFonts w:ascii="Times New Roman" w:hAnsi="Times New Roman" w:cs="Times New Roman"/>
          <w:sz w:val="24"/>
          <w:szCs w:val="24"/>
        </w:rPr>
        <w:t>are and real-time learning. The insights from this evaluation form the foundation for the strategic recommendations and future research directions discussed in the following sections.</w:t>
      </w:r>
    </w:p>
    <w:p w:rsidR="0038571C" w:rsidRDefault="0038571C">
      <w:pPr>
        <w:spacing w:after="0" w:line="240" w:lineRule="auto"/>
        <w:jc w:val="both"/>
        <w:rPr>
          <w:rFonts w:ascii="Times New Roman" w:hAnsi="Times New Roman" w:cs="Times New Roman"/>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5. Challenges, Limitations, and Integration Issues</w:t>
      </w:r>
      <w:r>
        <w:rPr>
          <w:rFonts w:ascii="Times New Roman" w:hAnsi="Times New Roman" w:cs="Times New Roman"/>
          <w:b/>
          <w:bCs/>
          <w:sz w:val="24"/>
          <w:szCs w:val="24"/>
        </w:rPr>
        <w:t>:</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Despite the promisi</w:t>
      </w:r>
      <w:r>
        <w:rPr>
          <w:rFonts w:ascii="Times New Roman" w:hAnsi="Times New Roman" w:cs="Times New Roman"/>
          <w:sz w:val="24"/>
          <w:szCs w:val="24"/>
        </w:rPr>
        <w:t xml:space="preserve">ng potential of AI-based risk assessment tools in project planning and execution, several practical challenges hinder widespread adoption. These challenges are grouped into four primary dimensions: </w:t>
      </w:r>
      <w:r>
        <w:rPr>
          <w:rFonts w:ascii="Times New Roman" w:hAnsi="Times New Roman" w:cs="Times New Roman"/>
          <w:b/>
          <w:bCs/>
          <w:sz w:val="24"/>
          <w:szCs w:val="24"/>
        </w:rPr>
        <w:t>data-related constraints</w:t>
      </w:r>
      <w:r>
        <w:rPr>
          <w:rFonts w:ascii="Times New Roman" w:hAnsi="Times New Roman" w:cs="Times New Roman"/>
          <w:sz w:val="24"/>
          <w:szCs w:val="24"/>
        </w:rPr>
        <w:t xml:space="preserve">, </w:t>
      </w:r>
      <w:r>
        <w:rPr>
          <w:rFonts w:ascii="Times New Roman" w:hAnsi="Times New Roman" w:cs="Times New Roman"/>
          <w:b/>
          <w:bCs/>
          <w:sz w:val="24"/>
          <w:szCs w:val="24"/>
        </w:rPr>
        <w:t>regulatory and compliance concer</w:t>
      </w:r>
      <w:r>
        <w:rPr>
          <w:rFonts w:ascii="Times New Roman" w:hAnsi="Times New Roman" w:cs="Times New Roman"/>
          <w:b/>
          <w:bCs/>
          <w:sz w:val="24"/>
          <w:szCs w:val="24"/>
        </w:rPr>
        <w:t>ns</w:t>
      </w:r>
      <w:r>
        <w:rPr>
          <w:rFonts w:ascii="Times New Roman" w:hAnsi="Times New Roman" w:cs="Times New Roman"/>
          <w:sz w:val="24"/>
          <w:szCs w:val="24"/>
        </w:rPr>
        <w:t xml:space="preserve">, </w:t>
      </w:r>
      <w:r>
        <w:rPr>
          <w:rFonts w:ascii="Times New Roman" w:hAnsi="Times New Roman" w:cs="Times New Roman"/>
          <w:b/>
          <w:bCs/>
          <w:sz w:val="24"/>
          <w:szCs w:val="24"/>
        </w:rPr>
        <w:t>technical integration issues</w:t>
      </w:r>
      <w:r>
        <w:rPr>
          <w:rFonts w:ascii="Times New Roman" w:hAnsi="Times New Roman" w:cs="Times New Roman"/>
          <w:sz w:val="24"/>
          <w:szCs w:val="24"/>
        </w:rPr>
        <w:t xml:space="preserve">, and </w:t>
      </w:r>
      <w:r>
        <w:rPr>
          <w:rFonts w:ascii="Times New Roman" w:hAnsi="Times New Roman" w:cs="Times New Roman"/>
          <w:b/>
          <w:bCs/>
          <w:sz w:val="24"/>
          <w:szCs w:val="24"/>
        </w:rPr>
        <w:t>organizational resistance or user acceptance</w:t>
      </w:r>
      <w:r>
        <w:rPr>
          <w:rFonts w:ascii="Times New Roman" w:hAnsi="Times New Roman" w:cs="Times New Roman"/>
          <w:sz w:val="24"/>
          <w:szCs w:val="24"/>
        </w:rPr>
        <w:t>. Each category presents both conceptual and operational limitations that must be addressed to unlock the full value of AI in project environments.</w:t>
      </w:r>
    </w:p>
    <w:p w:rsidR="0038571C" w:rsidRDefault="0038571C">
      <w:pPr>
        <w:spacing w:after="0" w:line="240" w:lineRule="auto"/>
        <w:jc w:val="both"/>
        <w:rPr>
          <w:rFonts w:ascii="Times New Roman" w:hAnsi="Times New Roman" w:cs="Times New Roman"/>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5.1 Data Availability and</w:t>
      </w:r>
      <w:r>
        <w:rPr>
          <w:rFonts w:ascii="Times New Roman" w:hAnsi="Times New Roman" w:cs="Times New Roman"/>
          <w:b/>
          <w:bCs/>
          <w:sz w:val="24"/>
          <w:szCs w:val="24"/>
        </w:rPr>
        <w:t xml:space="preserve"> Quality Challenges</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AI tools rely heavily on large volumes of high-quality, structured, and domain-specific data. Table 11 outlines the key data-related barriers in deploying AI for risk assessment.</w:t>
      </w:r>
    </w:p>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Table 11. Data-Related Challenges in AI Risk Assessment</w:t>
      </w:r>
    </w:p>
    <w:tbl>
      <w:tblPr>
        <w:tblStyle w:val="TableGrid"/>
        <w:tblW w:w="0" w:type="auto"/>
        <w:tblLook w:val="04A0" w:firstRow="1" w:lastRow="0" w:firstColumn="1" w:lastColumn="0" w:noHBand="0" w:noVBand="1"/>
      </w:tblPr>
      <w:tblGrid>
        <w:gridCol w:w="2183"/>
        <w:gridCol w:w="3503"/>
        <w:gridCol w:w="2320"/>
        <w:gridCol w:w="1056"/>
      </w:tblGrid>
      <w:tr w:rsidR="0038571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Challenge</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Description</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Impact</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Severity</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Incomplete Historical Data</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Lack of complete project risk logs, delays, or failure cases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Reduces model training accuracy</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High</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Data Silos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Risk data scattered across departments/tools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Limits AI’s ability to learn from </w:t>
            </w:r>
            <w:r>
              <w:rPr>
                <w:rFonts w:ascii="Times New Roman" w:hAnsi="Times New Roman" w:cs="Times New Roman"/>
                <w:sz w:val="24"/>
                <w:szCs w:val="24"/>
              </w:rPr>
              <w:t>patterns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Medium</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Inconsistent Data Formats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Variability in how risk data is recorded or categorized</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Causes preprocessing issues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High</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Lack of Labelled Risk Outcomes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Most historical project data lacks outcome labeling (e.g., success/failure)</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Affects </w:t>
            </w:r>
            <w:r>
              <w:rPr>
                <w:rFonts w:ascii="Times New Roman" w:hAnsi="Times New Roman" w:cs="Times New Roman"/>
                <w:sz w:val="24"/>
                <w:szCs w:val="24"/>
              </w:rPr>
              <w:t>supervised learning models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High</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Confidentiality Restrictions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Legal or client restrictions on sensitive risk information</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Limits training data availability</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Medium</w:t>
            </w:r>
          </w:p>
        </w:tc>
      </w:tr>
    </w:tbl>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5.2 Regulatory and Ethical Limitations</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As AI becomes more involved in decision-making, regul</w:t>
      </w:r>
      <w:r>
        <w:rPr>
          <w:rFonts w:ascii="Times New Roman" w:hAnsi="Times New Roman" w:cs="Times New Roman"/>
          <w:sz w:val="24"/>
          <w:szCs w:val="24"/>
        </w:rPr>
        <w:t>atory scrutiny increases. Table 12 outlines the compliance and ethical barriers affecting AI-based risk tools.</w:t>
      </w:r>
    </w:p>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Table 12. Regulatory and Ethical Constraints</w:t>
      </w:r>
    </w:p>
    <w:tbl>
      <w:tblPr>
        <w:tblStyle w:val="TableGrid"/>
        <w:tblW w:w="0" w:type="auto"/>
        <w:tblLook w:val="04A0" w:firstRow="1" w:lastRow="0" w:firstColumn="1" w:lastColumn="0" w:noHBand="0" w:noVBand="1"/>
      </w:tblPr>
      <w:tblGrid>
        <w:gridCol w:w="1998"/>
        <w:gridCol w:w="3160"/>
        <w:gridCol w:w="2635"/>
        <w:gridCol w:w="1269"/>
      </w:tblGrid>
      <w:tr w:rsidR="0038571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Constraint</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Description</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AI Impact</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Criticality</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GDPR/Data Privacy</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Projects in the EU or with EU </w:t>
            </w:r>
            <w:r>
              <w:rPr>
                <w:rFonts w:ascii="Times New Roman" w:hAnsi="Times New Roman" w:cs="Times New Roman"/>
                <w:sz w:val="24"/>
                <w:szCs w:val="24"/>
              </w:rPr>
              <w:t>clients must comply with GDPR regulations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Limits storage and processing of sensitive data</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High</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Explainability Requirements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AI decisions must be explainable for audit purposes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Difficult for black-box AI models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High</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Liability Attribution</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Ambiguity over who</w:t>
            </w:r>
            <w:r>
              <w:rPr>
                <w:rFonts w:ascii="Times New Roman" w:hAnsi="Times New Roman" w:cs="Times New Roman"/>
                <w:sz w:val="24"/>
                <w:szCs w:val="24"/>
              </w:rPr>
              <w:t xml:space="preserve"> is liable if AI-generated risk insights fail</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Hinders adoption in high-stakes environments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Medium</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Ethical Bias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AI systems may replicate biases in historical project data</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Can cause discrimination or skewed outcomes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High</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Compliance Audit Readiness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AI </w:t>
            </w:r>
            <w:r>
              <w:rPr>
                <w:rFonts w:ascii="Times New Roman" w:hAnsi="Times New Roman" w:cs="Times New Roman"/>
                <w:sz w:val="24"/>
                <w:szCs w:val="24"/>
              </w:rPr>
              <w:t>models must pass audits by regulatory bodies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Requires thorough documentation and traceability</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Medium</w:t>
            </w:r>
          </w:p>
        </w:tc>
      </w:tr>
    </w:tbl>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5731510" cy="3141345"/>
            <wp:effectExtent l="0" t="0" r="2540" b="1905"/>
            <wp:docPr id="137109806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098062" name="Picture 10"/>
                    <pic:cNvPicPr>
                      <a:picLocks noChangeAspect="1"/>
                    </pic:cNvPicPr>
                  </pic:nvPicPr>
                  <pic:blipFill>
                    <a:blip r:embed="rId16" cstate="print">
                      <a:extLst>
                        <a:ext uri="{BEBA8EAE-BF5A-486C-A8C5-ECC9F3942E4B}">
                          <a14:imgProps xmlns:a14="http://schemas.microsoft.com/office/drawing/2010/main">
                            <a14:imgLayer r:embed="rId17">
                              <a14:imgEffect>
                                <a14:saturation sat="400000"/>
                              </a14:imgEffect>
                            </a14:imgLayer>
                          </a14:imgProps>
                        </a:ext>
                        <a:ext uri="{28A0092B-C50C-407E-A947-70E740481C1C}">
                          <a14:useLocalDpi xmlns:a14="http://schemas.microsoft.com/office/drawing/2010/main" val="0"/>
                        </a:ext>
                      </a:extLst>
                    </a:blip>
                    <a:srcRect t="8031"/>
                    <a:stretch>
                      <a:fillRect/>
                    </a:stretch>
                  </pic:blipFill>
                  <pic:spPr>
                    <a:xfrm>
                      <a:off x="0" y="0"/>
                      <a:ext cx="5731510" cy="3141345"/>
                    </a:xfrm>
                    <a:prstGeom prst="rect">
                      <a:avLst/>
                    </a:prstGeom>
                    <a:ln>
                      <a:noFill/>
                    </a:ln>
                  </pic:spPr>
                </pic:pic>
              </a:graphicData>
            </a:graphic>
          </wp:inline>
        </w:drawing>
      </w:r>
    </w:p>
    <w:p w:rsidR="0038571C" w:rsidRDefault="00B029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Figure 5: Criticality of Regulatory and Ethical Concerns in AI Risk Tools</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This horizontal bar chart visualizes how critical various regulatory and ethi</w:t>
      </w:r>
      <w:r>
        <w:rPr>
          <w:rFonts w:ascii="Times New Roman" w:hAnsi="Times New Roman" w:cs="Times New Roman"/>
          <w:sz w:val="24"/>
          <w:szCs w:val="24"/>
        </w:rPr>
        <w:t>cal concerns are in the adoption of AI for risk assessment. Explainability, ethical bias, and GDPR compliance are flagged as high-priority areas requiring proactive attention.</w:t>
      </w:r>
    </w:p>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5.3 Integration with Existing Project Tools and Systems</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AI tools often struggle</w:t>
      </w:r>
      <w:r>
        <w:rPr>
          <w:rFonts w:ascii="Times New Roman" w:hAnsi="Times New Roman" w:cs="Times New Roman"/>
          <w:sz w:val="24"/>
          <w:szCs w:val="24"/>
        </w:rPr>
        <w:t xml:space="preserve"> to integrate with legacy systems and widely used project management software. Table 13 summarizes the main integration issues.</w:t>
      </w:r>
    </w:p>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Table 13. Technical Integration Barriers</w:t>
      </w:r>
    </w:p>
    <w:tbl>
      <w:tblPr>
        <w:tblStyle w:val="TableGrid"/>
        <w:tblW w:w="0" w:type="auto"/>
        <w:tblLook w:val="04A0" w:firstRow="1" w:lastRow="0" w:firstColumn="1" w:lastColumn="0" w:noHBand="0" w:noVBand="1"/>
      </w:tblPr>
      <w:tblGrid>
        <w:gridCol w:w="2036"/>
        <w:gridCol w:w="2869"/>
        <w:gridCol w:w="2280"/>
        <w:gridCol w:w="1877"/>
      </w:tblGrid>
      <w:tr w:rsidR="0038571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Issue</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Description</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Consequence</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Affected Systems</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Lack of Standard APIs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Proprietary </w:t>
            </w:r>
            <w:r>
              <w:rPr>
                <w:rFonts w:ascii="Times New Roman" w:hAnsi="Times New Roman" w:cs="Times New Roman"/>
                <w:sz w:val="24"/>
                <w:szCs w:val="24"/>
              </w:rPr>
              <w:t>tools often do not expose standard APIs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Limits seamless data exchange</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MS Project, BIM, JIRA</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Legacy System Constraints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Outdated infrastructure cannot support AI workloads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Slows or prevents real-time AI integration</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Government &amp; Infra Systems</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Platform </w:t>
            </w:r>
            <w:r>
              <w:rPr>
                <w:rFonts w:ascii="Times New Roman" w:hAnsi="Times New Roman" w:cs="Times New Roman"/>
                <w:sz w:val="24"/>
                <w:szCs w:val="24"/>
              </w:rPr>
              <w:t>Dependency</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Some AI tools are platform-locked (e.g., only cloud-based)</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Reduces flexibility in deployment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All</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High Implementation Costs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Custom integration with PM systems is costly and time-consuming</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Deters mid-sized firms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SMEs</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Data Latency</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Real-time data </w:t>
            </w:r>
            <w:r>
              <w:rPr>
                <w:rFonts w:ascii="Times New Roman" w:hAnsi="Times New Roman" w:cs="Times New Roman"/>
                <w:sz w:val="24"/>
                <w:szCs w:val="24"/>
              </w:rPr>
              <w:t>syncing with AI models is unreliable</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Leads to outdated predictions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Construction field tools</w:t>
            </w:r>
          </w:p>
        </w:tc>
      </w:tr>
    </w:tbl>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5.4 Organizational and User Acceptance Issues</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Human and organizational factors play a significant role in AI adoption. Table 14 lists the most cited behavioral an</w:t>
      </w:r>
      <w:r>
        <w:rPr>
          <w:rFonts w:ascii="Times New Roman" w:hAnsi="Times New Roman" w:cs="Times New Roman"/>
          <w:sz w:val="24"/>
          <w:szCs w:val="24"/>
        </w:rPr>
        <w:t>d strategic hurdles.</w:t>
      </w:r>
    </w:p>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Table 14. Organizational and User-Level Barriers</w:t>
      </w:r>
    </w:p>
    <w:tbl>
      <w:tblPr>
        <w:tblStyle w:val="TableGrid"/>
        <w:tblW w:w="0" w:type="auto"/>
        <w:tblLook w:val="04A0" w:firstRow="1" w:lastRow="0" w:firstColumn="1" w:lastColumn="0" w:noHBand="0" w:noVBand="1"/>
      </w:tblPr>
      <w:tblGrid>
        <w:gridCol w:w="1856"/>
        <w:gridCol w:w="3171"/>
        <w:gridCol w:w="2583"/>
        <w:gridCol w:w="1452"/>
      </w:tblGrid>
      <w:tr w:rsidR="0038571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Barrier</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Description</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Implication</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Resistance Level</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Lack of Trust in AI Output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Project managers are skeptical of AI-generated recommendations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Leads to underuse or rejection</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High</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Fear of </w:t>
            </w:r>
            <w:r>
              <w:rPr>
                <w:rFonts w:ascii="Times New Roman" w:hAnsi="Times New Roman" w:cs="Times New Roman"/>
                <w:sz w:val="24"/>
                <w:szCs w:val="24"/>
              </w:rPr>
              <w:t>Job Displacement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Staff view AI as a threat to their roles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Creates resistance to tool rollout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Medium</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Change Aversion</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Organizational inertia and resistance to adopting new systems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Slows down implementation timelines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High</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Training and Skill Gaps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Users lack </w:t>
            </w:r>
            <w:r>
              <w:rPr>
                <w:rFonts w:ascii="Times New Roman" w:hAnsi="Times New Roman" w:cs="Times New Roman"/>
                <w:sz w:val="24"/>
                <w:szCs w:val="24"/>
              </w:rPr>
              <w:t>AI literacy to use or interpret system outputs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Increases training burden and support requirements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Medium</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Lack of Clear ROI</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Organizations struggle to justify the cost without measurable benefits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Hinders strategic buy-in</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High</w:t>
            </w:r>
          </w:p>
        </w:tc>
      </w:tr>
    </w:tbl>
    <w:p w:rsidR="0038571C" w:rsidRDefault="00B02913">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731510" cy="3188970"/>
            <wp:effectExtent l="0" t="0" r="2540" b="0"/>
            <wp:docPr id="184701475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014759" name="Picture 9"/>
                    <pic:cNvPicPr>
                      <a:picLocks noChangeAspect="1"/>
                    </pic:cNvPicPr>
                  </pic:nvPicPr>
                  <pic:blipFill>
                    <a:blip r:embed="rId18" cstate="print">
                      <a:extLst>
                        <a:ext uri="{28A0092B-C50C-407E-A947-70E740481C1C}">
                          <a14:useLocalDpi xmlns:a14="http://schemas.microsoft.com/office/drawing/2010/main" val="0"/>
                        </a:ext>
                      </a:extLst>
                    </a:blip>
                    <a:srcRect t="7921"/>
                    <a:stretch>
                      <a:fillRect/>
                    </a:stretch>
                  </pic:blipFill>
                  <pic:spPr>
                    <a:xfrm>
                      <a:off x="0" y="0"/>
                      <a:ext cx="5731510" cy="3188970"/>
                    </a:xfrm>
                    <a:prstGeom prst="rect">
                      <a:avLst/>
                    </a:prstGeom>
                    <a:ln>
                      <a:noFill/>
                    </a:ln>
                  </pic:spPr>
                </pic:pic>
              </a:graphicData>
            </a:graphic>
          </wp:inline>
        </w:drawing>
      </w:r>
    </w:p>
    <w:p w:rsidR="0038571C" w:rsidRDefault="00B029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Figure 6: Resistance Levels </w:t>
      </w:r>
      <w:r>
        <w:rPr>
          <w:rFonts w:ascii="Times New Roman" w:hAnsi="Times New Roman" w:cs="Times New Roman"/>
          <w:sz w:val="24"/>
          <w:szCs w:val="24"/>
        </w:rPr>
        <w:t>to AI Adoption in Organizations</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This bar chart highlights the perceived resistance across five key organizational barriers. Trust issues, change aversion, and lack of clear ROI are identified as the most severe deterrents to AI implementation.</w:t>
      </w:r>
    </w:p>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5.5 Summary</w:t>
      </w:r>
      <w:r>
        <w:rPr>
          <w:rFonts w:ascii="Times New Roman" w:hAnsi="Times New Roman" w:cs="Times New Roman"/>
          <w:b/>
          <w:bCs/>
          <w:sz w:val="24"/>
          <w:szCs w:val="24"/>
        </w:rPr>
        <w:t xml:space="preserve"> of Challenges Across Categories</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To summarize the severity and frequency of these challenges across real-world case studies, Table 15 offers a holistic matrix view.</w:t>
      </w:r>
    </w:p>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Table 15. Summary Matrix of AI Risk Assessment Adoption Barriers</w:t>
      </w:r>
    </w:p>
    <w:tbl>
      <w:tblPr>
        <w:tblStyle w:val="TableGrid"/>
        <w:tblW w:w="0" w:type="auto"/>
        <w:tblLook w:val="04A0" w:firstRow="1" w:lastRow="0" w:firstColumn="1" w:lastColumn="0" w:noHBand="0" w:noVBand="1"/>
      </w:tblPr>
      <w:tblGrid>
        <w:gridCol w:w="1859"/>
        <w:gridCol w:w="2458"/>
        <w:gridCol w:w="1056"/>
        <w:gridCol w:w="2042"/>
        <w:gridCol w:w="1647"/>
      </w:tblGrid>
      <w:tr w:rsidR="0038571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Category</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Example Challeng</w:t>
            </w:r>
            <w:r>
              <w:rPr>
                <w:rFonts w:ascii="Times New Roman" w:hAnsi="Times New Roman" w:cs="Times New Roman"/>
                <w:b/>
                <w:bCs/>
                <w:sz w:val="24"/>
                <w:szCs w:val="24"/>
              </w:rPr>
              <w:t>e</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Severity</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Frequency in Industry</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Strategic Priority</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Data</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Inconsistent Formats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High</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Frequent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High</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Regulation</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Explainability Requirements</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High</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Growing</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High</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Technical Integration</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Legacy System Compatibility</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Medium</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Widespread</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Medium</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User Behavior</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Trust </w:t>
            </w:r>
            <w:r>
              <w:rPr>
                <w:rFonts w:ascii="Times New Roman" w:hAnsi="Times New Roman" w:cs="Times New Roman"/>
                <w:sz w:val="24"/>
                <w:szCs w:val="24"/>
              </w:rPr>
              <w:t>Deficit in AI Output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High</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Frequent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High</w:t>
            </w:r>
          </w:p>
        </w:tc>
      </w:tr>
    </w:tbl>
    <w:p w:rsidR="0038571C" w:rsidRDefault="0038571C">
      <w:pPr>
        <w:spacing w:after="0" w:line="240" w:lineRule="auto"/>
        <w:jc w:val="both"/>
        <w:rPr>
          <w:rFonts w:ascii="Times New Roman" w:hAnsi="Times New Roman" w:cs="Times New Roman"/>
          <w:sz w:val="24"/>
          <w:szCs w:val="24"/>
        </w:rPr>
      </w:pPr>
    </w:p>
    <w:p w:rsidR="0038571C" w:rsidRDefault="00B02913">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731510" cy="4120515"/>
            <wp:effectExtent l="0" t="0" r="2540" b="0"/>
            <wp:docPr id="15536043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604390" name="Picture 8"/>
                    <pic:cNvPicPr>
                      <a:picLocks noChangeAspect="1"/>
                    </pic:cNvPicPr>
                  </pic:nvPicPr>
                  <pic:blipFill>
                    <a:blip r:embed="rId19" cstate="print">
                      <a:extLst>
                        <a:ext uri="{28A0092B-C50C-407E-A947-70E740481C1C}">
                          <a14:useLocalDpi xmlns:a14="http://schemas.microsoft.com/office/drawing/2010/main" val="0"/>
                        </a:ext>
                      </a:extLst>
                    </a:blip>
                    <a:srcRect t="6242"/>
                    <a:stretch>
                      <a:fillRect/>
                    </a:stretch>
                  </pic:blipFill>
                  <pic:spPr>
                    <a:xfrm>
                      <a:off x="0" y="0"/>
                      <a:ext cx="5731510" cy="4120515"/>
                    </a:xfrm>
                    <a:prstGeom prst="rect">
                      <a:avLst/>
                    </a:prstGeom>
                    <a:ln>
                      <a:noFill/>
                    </a:ln>
                  </pic:spPr>
                </pic:pic>
              </a:graphicData>
            </a:graphic>
          </wp:inline>
        </w:drawing>
      </w:r>
    </w:p>
    <w:p w:rsidR="0038571C" w:rsidRDefault="00B029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Figure 7: Heatmap of Key AI Risk Assessment Barriers</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This heatmap visualizes the severity and frequency of selected challenges from each barrier category. Challenges like "Trust Deficit in AI Output" and </w:t>
      </w:r>
      <w:r>
        <w:rPr>
          <w:rFonts w:ascii="Times New Roman" w:hAnsi="Times New Roman" w:cs="Times New Roman"/>
          <w:sz w:val="24"/>
          <w:szCs w:val="24"/>
        </w:rPr>
        <w:t>"Inconsistent Formats" are both high in severity and frequently observed, indicating critical areas for strategic intervention.</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While AI-based tools for risk assessment have shown substantial technical promise, their practical implementation is hampered by</w:t>
      </w:r>
      <w:r>
        <w:rPr>
          <w:rFonts w:ascii="Times New Roman" w:hAnsi="Times New Roman" w:cs="Times New Roman"/>
          <w:sz w:val="24"/>
          <w:szCs w:val="24"/>
        </w:rPr>
        <w:t xml:space="preserve"> multifaceted challenges that span across data integrity, regulatory scrutiny, system compatibility, and human resistance. These issues are not merely technical in nature but are deeply entrenched in organizational culture and policy. A successful AI integ</w:t>
      </w:r>
      <w:r>
        <w:rPr>
          <w:rFonts w:ascii="Times New Roman" w:hAnsi="Times New Roman" w:cs="Times New Roman"/>
          <w:sz w:val="24"/>
          <w:szCs w:val="24"/>
        </w:rPr>
        <w:t>ration strategy must therefore include strong data governance, transparent AI models, regulatory compliance readiness, and robust change management programs to build trust and ensure user buy-in.</w:t>
      </w:r>
    </w:p>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6 Proposed Framework and Strategic Recommendations</w:t>
      </w:r>
      <w:r>
        <w:rPr>
          <w:rFonts w:ascii="Times New Roman" w:hAnsi="Times New Roman" w:cs="Times New Roman"/>
          <w:b/>
          <w:bCs/>
          <w:sz w:val="24"/>
          <w:szCs w:val="24"/>
        </w:rPr>
        <w:t>:</w:t>
      </w: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6.1 Int</w:t>
      </w:r>
      <w:r>
        <w:rPr>
          <w:rFonts w:ascii="Times New Roman" w:hAnsi="Times New Roman" w:cs="Times New Roman"/>
          <w:b/>
          <w:bCs/>
          <w:sz w:val="24"/>
          <w:szCs w:val="24"/>
        </w:rPr>
        <w:t>roduction to the Framework</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response to the challenges identified in Section 5, we propose a structured framework designed to support the </w:t>
      </w:r>
      <w:r>
        <w:rPr>
          <w:rFonts w:ascii="Times New Roman" w:hAnsi="Times New Roman" w:cs="Times New Roman"/>
          <w:b/>
          <w:bCs/>
          <w:sz w:val="24"/>
          <w:szCs w:val="24"/>
        </w:rPr>
        <w:t>adoption, integration, and sustained usage</w:t>
      </w:r>
      <w:r>
        <w:rPr>
          <w:rFonts w:ascii="Times New Roman" w:hAnsi="Times New Roman" w:cs="Times New Roman"/>
          <w:sz w:val="24"/>
          <w:szCs w:val="24"/>
        </w:rPr>
        <w:t xml:space="preserve"> of AI-based risk assessment tools within diverse project management envir</w:t>
      </w:r>
      <w:r>
        <w:rPr>
          <w:rFonts w:ascii="Times New Roman" w:hAnsi="Times New Roman" w:cs="Times New Roman"/>
          <w:sz w:val="24"/>
          <w:szCs w:val="24"/>
        </w:rPr>
        <w:t xml:space="preserve">onments. This framework aims to bridge the gap between the </w:t>
      </w:r>
      <w:r>
        <w:rPr>
          <w:rFonts w:ascii="Times New Roman" w:hAnsi="Times New Roman" w:cs="Times New Roman"/>
          <w:b/>
          <w:bCs/>
          <w:sz w:val="24"/>
          <w:szCs w:val="24"/>
        </w:rPr>
        <w:t>technological capabilities</w:t>
      </w:r>
      <w:r>
        <w:rPr>
          <w:rFonts w:ascii="Times New Roman" w:hAnsi="Times New Roman" w:cs="Times New Roman"/>
          <w:sz w:val="24"/>
          <w:szCs w:val="24"/>
        </w:rPr>
        <w:t xml:space="preserve"> of AI tools and the </w:t>
      </w:r>
      <w:r>
        <w:rPr>
          <w:rFonts w:ascii="Times New Roman" w:hAnsi="Times New Roman" w:cs="Times New Roman"/>
          <w:b/>
          <w:bCs/>
          <w:sz w:val="24"/>
          <w:szCs w:val="24"/>
        </w:rPr>
        <w:t>practical realities</w:t>
      </w:r>
      <w:r>
        <w:rPr>
          <w:rFonts w:ascii="Times New Roman" w:hAnsi="Times New Roman" w:cs="Times New Roman"/>
          <w:sz w:val="24"/>
          <w:szCs w:val="24"/>
        </w:rPr>
        <w:t xml:space="preserve"> of project execution. It incorporates not only data and system design considerations but also regulatory, organizational, and user</w:t>
      </w:r>
      <w:r>
        <w:rPr>
          <w:rFonts w:ascii="Times New Roman" w:hAnsi="Times New Roman" w:cs="Times New Roman"/>
          <w:sz w:val="24"/>
          <w:szCs w:val="24"/>
        </w:rPr>
        <w:t>-level strategies.</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framework is built upon four foundational pillars:</w:t>
      </w:r>
    </w:p>
    <w:p w:rsidR="0038571C" w:rsidRDefault="00B02913">
      <w:pPr>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Data Readiness and Quality Governance</w:t>
      </w:r>
    </w:p>
    <w:p w:rsidR="0038571C" w:rsidRDefault="00B02913">
      <w:pPr>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System Integration and Technical Compatibility</w:t>
      </w:r>
    </w:p>
    <w:p w:rsidR="0038571C" w:rsidRDefault="00B02913">
      <w:pPr>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Regulatory Alignment and Ethical Transparency</w:t>
      </w:r>
    </w:p>
    <w:p w:rsidR="0038571C" w:rsidRDefault="00B02913">
      <w:pPr>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Organizational Enablement and Change Management</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Eac</w:t>
      </w:r>
      <w:r>
        <w:rPr>
          <w:rFonts w:ascii="Times New Roman" w:hAnsi="Times New Roman" w:cs="Times New Roman"/>
          <w:sz w:val="24"/>
          <w:szCs w:val="24"/>
        </w:rPr>
        <w:t>h pillar addresses specific friction points in the AI adoption lifecycle and is elaborated below.</w:t>
      </w:r>
    </w:p>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6.2 Pillar 1: Data Readiness and Quality Governance</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High-quality and accessible data is the cornerstone of any AI implementation. However, project </w:t>
      </w:r>
      <w:r>
        <w:rPr>
          <w:rFonts w:ascii="Times New Roman" w:hAnsi="Times New Roman" w:cs="Times New Roman"/>
          <w:sz w:val="24"/>
          <w:szCs w:val="24"/>
        </w:rPr>
        <w:t>environments often suffer from fragmented, siloed, or low-quality datasets. The first pillar emphasizes:</w:t>
      </w:r>
    </w:p>
    <w:p w:rsidR="0038571C" w:rsidRDefault="00B02913">
      <w:pPr>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Data Standardization Protocols</w:t>
      </w:r>
      <w:r>
        <w:rPr>
          <w:rFonts w:ascii="Times New Roman" w:hAnsi="Times New Roman" w:cs="Times New Roman"/>
          <w:sz w:val="24"/>
          <w:szCs w:val="24"/>
        </w:rPr>
        <w:t>: Establish consistent formats for risk data logging, risk categorization, and outcome recording across all project phase</w:t>
      </w:r>
      <w:r>
        <w:rPr>
          <w:rFonts w:ascii="Times New Roman" w:hAnsi="Times New Roman" w:cs="Times New Roman"/>
          <w:sz w:val="24"/>
          <w:szCs w:val="24"/>
        </w:rPr>
        <w:t>s.</w:t>
      </w:r>
    </w:p>
    <w:p w:rsidR="0038571C" w:rsidRDefault="00B02913">
      <w:pPr>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Historical Data Enrichment</w:t>
      </w:r>
      <w:r>
        <w:rPr>
          <w:rFonts w:ascii="Times New Roman" w:hAnsi="Times New Roman" w:cs="Times New Roman"/>
          <w:sz w:val="24"/>
          <w:szCs w:val="24"/>
        </w:rPr>
        <w:t>: Initiate backfilling exercises to annotate past project risks with outcomes to build labeled datasets.</w:t>
      </w:r>
    </w:p>
    <w:p w:rsidR="0038571C" w:rsidRDefault="00B02913">
      <w:pPr>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Cross-Functional Data Pools</w:t>
      </w:r>
      <w:r>
        <w:rPr>
          <w:rFonts w:ascii="Times New Roman" w:hAnsi="Times New Roman" w:cs="Times New Roman"/>
          <w:sz w:val="24"/>
          <w:szCs w:val="24"/>
        </w:rPr>
        <w:t xml:space="preserve">: Break data silos through centralized risk repositories accessible to all project </w:t>
      </w:r>
      <w:r>
        <w:rPr>
          <w:rFonts w:ascii="Times New Roman" w:hAnsi="Times New Roman" w:cs="Times New Roman"/>
          <w:sz w:val="24"/>
          <w:szCs w:val="24"/>
        </w:rPr>
        <w:t>stakeholders.</w:t>
      </w:r>
    </w:p>
    <w:p w:rsidR="0038571C" w:rsidRDefault="00B02913">
      <w:pPr>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AI-Friendly Metadata Tagging</w:t>
      </w:r>
      <w:r>
        <w:rPr>
          <w:rFonts w:ascii="Times New Roman" w:hAnsi="Times New Roman" w:cs="Times New Roman"/>
          <w:sz w:val="24"/>
          <w:szCs w:val="24"/>
        </w:rPr>
        <w:t>: Embed metadata into risk logs (e.g., likelihood, impact score, stakeholder) to facilitate machine learning interpretation.</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These initiatives ensure that AI models are trained on reliable, relevant, and representa</w:t>
      </w:r>
      <w:r>
        <w:rPr>
          <w:rFonts w:ascii="Times New Roman" w:hAnsi="Times New Roman" w:cs="Times New Roman"/>
          <w:sz w:val="24"/>
          <w:szCs w:val="24"/>
        </w:rPr>
        <w:t>tive datasets, reducing model error and increasing predictive validity.</w:t>
      </w:r>
    </w:p>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6.3 Pillar 2: System Integration and Technical Compatibility</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Without seamless integration, even the most advanced AI tools can become isolated and underused. This pillar focuses on:</w:t>
      </w:r>
    </w:p>
    <w:p w:rsidR="0038571C" w:rsidRDefault="00B02913">
      <w:pPr>
        <w:numPr>
          <w:ilvl w:val="0"/>
          <w:numId w:val="11"/>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A</w:t>
      </w:r>
      <w:r>
        <w:rPr>
          <w:rFonts w:ascii="Times New Roman" w:hAnsi="Times New Roman" w:cs="Times New Roman"/>
          <w:b/>
          <w:bCs/>
          <w:sz w:val="24"/>
          <w:szCs w:val="24"/>
        </w:rPr>
        <w:t>PI-Based Middleware Solutions</w:t>
      </w:r>
      <w:r>
        <w:rPr>
          <w:rFonts w:ascii="Times New Roman" w:hAnsi="Times New Roman" w:cs="Times New Roman"/>
          <w:sz w:val="24"/>
          <w:szCs w:val="24"/>
        </w:rPr>
        <w:t>: Develop middleware platforms that connect AI engines with tools like MS Project, Primavera, BIM systems, or ERP software.</w:t>
      </w:r>
    </w:p>
    <w:p w:rsidR="0038571C" w:rsidRDefault="00B02913">
      <w:pPr>
        <w:numPr>
          <w:ilvl w:val="0"/>
          <w:numId w:val="11"/>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Cloud-Edge Hybrid Deployment</w:t>
      </w:r>
      <w:r>
        <w:rPr>
          <w:rFonts w:ascii="Times New Roman" w:hAnsi="Times New Roman" w:cs="Times New Roman"/>
          <w:sz w:val="24"/>
          <w:szCs w:val="24"/>
        </w:rPr>
        <w:t>: Leverage cloud AI for complex analysis while maintaining real-time feedba</w:t>
      </w:r>
      <w:r>
        <w:rPr>
          <w:rFonts w:ascii="Times New Roman" w:hAnsi="Times New Roman" w:cs="Times New Roman"/>
          <w:sz w:val="24"/>
          <w:szCs w:val="24"/>
        </w:rPr>
        <w:t>ck loops through edge AI at project sites.</w:t>
      </w:r>
    </w:p>
    <w:p w:rsidR="0038571C" w:rsidRDefault="00B02913">
      <w:pPr>
        <w:numPr>
          <w:ilvl w:val="0"/>
          <w:numId w:val="11"/>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Digital Twin Integration</w:t>
      </w:r>
      <w:r>
        <w:rPr>
          <w:rFonts w:ascii="Times New Roman" w:hAnsi="Times New Roman" w:cs="Times New Roman"/>
          <w:sz w:val="24"/>
          <w:szCs w:val="24"/>
        </w:rPr>
        <w:t>: Use digital twins of construction and engineering projects to simulate risk propagation under various scenarios.</w:t>
      </w:r>
    </w:p>
    <w:p w:rsidR="0038571C" w:rsidRDefault="00B02913">
      <w:pPr>
        <w:numPr>
          <w:ilvl w:val="0"/>
          <w:numId w:val="11"/>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Modular AI Toolkits</w:t>
      </w:r>
      <w:r>
        <w:rPr>
          <w:rFonts w:ascii="Times New Roman" w:hAnsi="Times New Roman" w:cs="Times New Roman"/>
          <w:sz w:val="24"/>
          <w:szCs w:val="24"/>
        </w:rPr>
        <w:t>: Encourage modular, plug-and-play AI modules that orga</w:t>
      </w:r>
      <w:r>
        <w:rPr>
          <w:rFonts w:ascii="Times New Roman" w:hAnsi="Times New Roman" w:cs="Times New Roman"/>
          <w:sz w:val="24"/>
          <w:szCs w:val="24"/>
        </w:rPr>
        <w:t>nizations can scale over time instead of monolithic deployments.</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This strategic alignment ensures AI tools do not disrupt but rather enhance existing workflows and digital infrastructure.</w:t>
      </w:r>
    </w:p>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6.4 Pillar 3: Regulatory Alignment and Ethical Transparency</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Given t</w:t>
      </w:r>
      <w:r>
        <w:rPr>
          <w:rFonts w:ascii="Times New Roman" w:hAnsi="Times New Roman" w:cs="Times New Roman"/>
          <w:sz w:val="24"/>
          <w:szCs w:val="24"/>
        </w:rPr>
        <w:t>he rising scrutiny of AI systems, a governance-centric approach is essential. This pillar promotes:</w:t>
      </w:r>
    </w:p>
    <w:p w:rsidR="0038571C" w:rsidRDefault="00B02913">
      <w:pPr>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Explainable AI (XAI) Frameworks</w:t>
      </w:r>
      <w:r>
        <w:rPr>
          <w:rFonts w:ascii="Times New Roman" w:hAnsi="Times New Roman" w:cs="Times New Roman"/>
          <w:sz w:val="24"/>
          <w:szCs w:val="24"/>
        </w:rPr>
        <w:t>: Implement models that can justify their predictions in understandable terms for audit and decision support.</w:t>
      </w:r>
    </w:p>
    <w:p w:rsidR="0038571C" w:rsidRDefault="00B02913">
      <w:pPr>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Compliance-Firs</w:t>
      </w:r>
      <w:r>
        <w:rPr>
          <w:rFonts w:ascii="Times New Roman" w:hAnsi="Times New Roman" w:cs="Times New Roman"/>
          <w:b/>
          <w:bCs/>
          <w:sz w:val="24"/>
          <w:szCs w:val="24"/>
        </w:rPr>
        <w:t>t Development</w:t>
      </w:r>
      <w:r>
        <w:rPr>
          <w:rFonts w:ascii="Times New Roman" w:hAnsi="Times New Roman" w:cs="Times New Roman"/>
          <w:sz w:val="24"/>
          <w:szCs w:val="24"/>
        </w:rPr>
        <w:t>: Embed GDPR, ISO 31000, and sector-specific guidelines into AI tool development and rollout.</w:t>
      </w:r>
    </w:p>
    <w:p w:rsidR="0038571C" w:rsidRDefault="00B02913">
      <w:pPr>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Bias Monitoring Mechanisms</w:t>
      </w:r>
      <w:r>
        <w:rPr>
          <w:rFonts w:ascii="Times New Roman" w:hAnsi="Times New Roman" w:cs="Times New Roman"/>
          <w:sz w:val="24"/>
          <w:szCs w:val="24"/>
        </w:rPr>
        <w:t xml:space="preserve">: Regularly audit training data and outputs to detect and mitigate biases, especially in stakeholder-sensitive </w:t>
      </w:r>
      <w:r>
        <w:rPr>
          <w:rFonts w:ascii="Times New Roman" w:hAnsi="Times New Roman" w:cs="Times New Roman"/>
          <w:sz w:val="24"/>
          <w:szCs w:val="24"/>
        </w:rPr>
        <w:t>environments.</w:t>
      </w:r>
    </w:p>
    <w:p w:rsidR="0038571C" w:rsidRDefault="00B02913">
      <w:pPr>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Transparent Decision Trails</w:t>
      </w:r>
      <w:r>
        <w:rPr>
          <w:rFonts w:ascii="Times New Roman" w:hAnsi="Times New Roman" w:cs="Times New Roman"/>
          <w:sz w:val="24"/>
          <w:szCs w:val="24"/>
        </w:rPr>
        <w:t>: Maintain logs of all AI-generated risk assessments, including the data used and reasoning provided.</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Ethical transparency not only improves compliance but also builds trust among decision-makers and users.</w:t>
      </w:r>
    </w:p>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6.5 Pil</w:t>
      </w:r>
      <w:r>
        <w:rPr>
          <w:rFonts w:ascii="Times New Roman" w:hAnsi="Times New Roman" w:cs="Times New Roman"/>
          <w:b/>
          <w:bCs/>
          <w:sz w:val="24"/>
          <w:szCs w:val="24"/>
        </w:rPr>
        <w:t>lar 4: Organizational Enablement and Change Management</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No AI tool can be effectively adopted without user buy-in. Therefore, the fourth pillar addresses:</w:t>
      </w:r>
    </w:p>
    <w:p w:rsidR="0038571C" w:rsidRDefault="00B02913">
      <w:pPr>
        <w:numPr>
          <w:ilvl w:val="0"/>
          <w:numId w:val="13"/>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Stakeholder Training Programs</w:t>
      </w:r>
      <w:r>
        <w:rPr>
          <w:rFonts w:ascii="Times New Roman" w:hAnsi="Times New Roman" w:cs="Times New Roman"/>
          <w:sz w:val="24"/>
          <w:szCs w:val="24"/>
        </w:rPr>
        <w:t>: Tailored training for project managers, risk officers, and executives o</w:t>
      </w:r>
      <w:r>
        <w:rPr>
          <w:rFonts w:ascii="Times New Roman" w:hAnsi="Times New Roman" w:cs="Times New Roman"/>
          <w:sz w:val="24"/>
          <w:szCs w:val="24"/>
        </w:rPr>
        <w:t>n how AI tools operate and support decisions.</w:t>
      </w:r>
    </w:p>
    <w:p w:rsidR="0038571C" w:rsidRDefault="00B02913">
      <w:pPr>
        <w:numPr>
          <w:ilvl w:val="0"/>
          <w:numId w:val="13"/>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AI Champions and Risk Ambassadors</w:t>
      </w:r>
      <w:r>
        <w:rPr>
          <w:rFonts w:ascii="Times New Roman" w:hAnsi="Times New Roman" w:cs="Times New Roman"/>
          <w:sz w:val="24"/>
          <w:szCs w:val="24"/>
        </w:rPr>
        <w:t>: Designate power users in each project team to advocate and support AI adoption.</w:t>
      </w:r>
    </w:p>
    <w:p w:rsidR="0038571C" w:rsidRDefault="00B02913">
      <w:pPr>
        <w:numPr>
          <w:ilvl w:val="0"/>
          <w:numId w:val="13"/>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Performance-Linked AI Metrics</w:t>
      </w:r>
      <w:r>
        <w:rPr>
          <w:rFonts w:ascii="Times New Roman" w:hAnsi="Times New Roman" w:cs="Times New Roman"/>
          <w:sz w:val="24"/>
          <w:szCs w:val="24"/>
        </w:rPr>
        <w:t>: Tie AI tool usage to performance KPIs, such as reduction in risk</w:t>
      </w:r>
      <w:r>
        <w:rPr>
          <w:rFonts w:ascii="Times New Roman" w:hAnsi="Times New Roman" w:cs="Times New Roman"/>
          <w:sz w:val="24"/>
          <w:szCs w:val="24"/>
        </w:rPr>
        <w:t xml:space="preserve"> exposure or improved project delivery times.</w:t>
      </w:r>
    </w:p>
    <w:p w:rsidR="0038571C" w:rsidRDefault="00B02913">
      <w:pPr>
        <w:numPr>
          <w:ilvl w:val="0"/>
          <w:numId w:val="13"/>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Pilot and Feedback Loops</w:t>
      </w:r>
      <w:r>
        <w:rPr>
          <w:rFonts w:ascii="Times New Roman" w:hAnsi="Times New Roman" w:cs="Times New Roman"/>
          <w:sz w:val="24"/>
          <w:szCs w:val="24"/>
        </w:rPr>
        <w:t>: Begin with low-risk pilot projects, collect feedback, and iterate the tool before full-scale deployment.</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By addressing behavioral and cultural resistance head-on, this pillar ensures t</w:t>
      </w:r>
      <w:r>
        <w:rPr>
          <w:rFonts w:ascii="Times New Roman" w:hAnsi="Times New Roman" w:cs="Times New Roman"/>
          <w:sz w:val="24"/>
          <w:szCs w:val="24"/>
        </w:rPr>
        <w:t>hat AI becomes a valued and normalized part of project planning and execution.</w:t>
      </w:r>
    </w:p>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6.6 Strategic Roadmap for Implementation</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To help project-based organizations operationalize the above framework, a phased roadmap is recommended:</w:t>
      </w:r>
    </w:p>
    <w:tbl>
      <w:tblPr>
        <w:tblStyle w:val="TableGrid"/>
        <w:tblW w:w="0" w:type="auto"/>
        <w:tblLook w:val="04A0" w:firstRow="1" w:lastRow="0" w:firstColumn="1" w:lastColumn="0" w:noHBand="0" w:noVBand="1"/>
      </w:tblPr>
      <w:tblGrid>
        <w:gridCol w:w="1735"/>
        <w:gridCol w:w="2976"/>
        <w:gridCol w:w="4351"/>
      </w:tblGrid>
      <w:tr w:rsidR="0038571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Phase</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Strategic Focus</w:t>
            </w:r>
          </w:p>
        </w:tc>
        <w:tc>
          <w:tcPr>
            <w:tcW w:w="0" w:type="auto"/>
          </w:tcPr>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Key Acti</w:t>
            </w:r>
            <w:r>
              <w:rPr>
                <w:rFonts w:ascii="Times New Roman" w:hAnsi="Times New Roman" w:cs="Times New Roman"/>
                <w:b/>
                <w:bCs/>
                <w:sz w:val="24"/>
                <w:szCs w:val="24"/>
              </w:rPr>
              <w:t>vities</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Phase 1 – Foundation</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Data Quality &amp; Regulatory Assessment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Data audit, stakeholder mapping, regulatory readiness check</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Phase 2 – Pilot</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Limited-Scale Tool Implementation</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Pilot AI tools on 1–2 active projects, with robust monitoring and reporting</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Phase 3 – Expansion</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System and Process Integration</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Scale integration across digital tools; embed in project workflows</w:t>
            </w:r>
          </w:p>
        </w:tc>
      </w:tr>
      <w:tr w:rsidR="0038571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Phase 4 – Maturity</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AI Governance and Continuous Optimization</w:t>
            </w:r>
          </w:p>
        </w:tc>
        <w:tc>
          <w:tcPr>
            <w:tcW w:w="0" w:type="auto"/>
          </w:tcPr>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Real-time dashboards, user training upgrades, and continuous feedback into m</w:t>
            </w:r>
            <w:r>
              <w:rPr>
                <w:rFonts w:ascii="Times New Roman" w:hAnsi="Times New Roman" w:cs="Times New Roman"/>
                <w:sz w:val="24"/>
                <w:szCs w:val="24"/>
              </w:rPr>
              <w:t>odels</w:t>
            </w:r>
          </w:p>
        </w:tc>
      </w:tr>
    </w:tbl>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This roadmap ensures a structured, non-disruptive evolution of risk intelligence capabilities across organizations.</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proposed framework offers a holistic, realistic path toward transforming how risk is assessed and mitigated in project environmen</w:t>
      </w:r>
      <w:r>
        <w:rPr>
          <w:rFonts w:ascii="Times New Roman" w:hAnsi="Times New Roman" w:cs="Times New Roman"/>
          <w:sz w:val="24"/>
          <w:szCs w:val="24"/>
        </w:rPr>
        <w:t xml:space="preserve">ts. By simultaneously tackling data, technology, ethics, and human behavior, it addresses the multifactorial nature of AI implementation barriers. It also serves as a practical guide for organizations at various stages of digital maturity—whether they are </w:t>
      </w:r>
      <w:r>
        <w:rPr>
          <w:rFonts w:ascii="Times New Roman" w:hAnsi="Times New Roman" w:cs="Times New Roman"/>
          <w:sz w:val="24"/>
          <w:szCs w:val="24"/>
        </w:rPr>
        <w:t>just exploring AI-based risk assessment or seeking to optimize their existing AI investments.</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the next section, we present the </w:t>
      </w:r>
      <w:r>
        <w:rPr>
          <w:rFonts w:ascii="Times New Roman" w:hAnsi="Times New Roman" w:cs="Times New Roman"/>
          <w:b/>
          <w:bCs/>
          <w:sz w:val="24"/>
          <w:szCs w:val="24"/>
        </w:rPr>
        <w:t>key findings</w:t>
      </w:r>
      <w:r>
        <w:rPr>
          <w:rFonts w:ascii="Times New Roman" w:hAnsi="Times New Roman" w:cs="Times New Roman"/>
          <w:sz w:val="24"/>
          <w:szCs w:val="24"/>
        </w:rPr>
        <w:t xml:space="preserve"> from the application and evaluation of this framework, followed by a discussion of </w:t>
      </w:r>
      <w:r>
        <w:rPr>
          <w:rFonts w:ascii="Times New Roman" w:hAnsi="Times New Roman" w:cs="Times New Roman"/>
          <w:b/>
          <w:bCs/>
          <w:sz w:val="24"/>
          <w:szCs w:val="24"/>
        </w:rPr>
        <w:t>future research directions</w:t>
      </w:r>
      <w:r>
        <w:rPr>
          <w:rFonts w:ascii="Times New Roman" w:hAnsi="Times New Roman" w:cs="Times New Roman"/>
          <w:sz w:val="24"/>
          <w:szCs w:val="24"/>
        </w:rPr>
        <w:t xml:space="preserve"> and</w:t>
      </w:r>
      <w:r>
        <w:rPr>
          <w:rFonts w:ascii="Times New Roman" w:hAnsi="Times New Roman" w:cs="Times New Roman"/>
          <w:sz w:val="24"/>
          <w:szCs w:val="24"/>
        </w:rPr>
        <w:t xml:space="preserve"> a </w:t>
      </w:r>
      <w:r>
        <w:rPr>
          <w:rFonts w:ascii="Times New Roman" w:hAnsi="Times New Roman" w:cs="Times New Roman"/>
          <w:b/>
          <w:bCs/>
          <w:sz w:val="24"/>
          <w:szCs w:val="24"/>
        </w:rPr>
        <w:t>comprehensive conclusion</w:t>
      </w:r>
      <w:r>
        <w:rPr>
          <w:rFonts w:ascii="Times New Roman" w:hAnsi="Times New Roman" w:cs="Times New Roman"/>
          <w:sz w:val="24"/>
          <w:szCs w:val="24"/>
        </w:rPr>
        <w:t>.</w:t>
      </w:r>
    </w:p>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7. Key Outcomes, Future Research Directions, and Conclusion</w:t>
      </w:r>
      <w:r>
        <w:rPr>
          <w:rFonts w:ascii="Times New Roman" w:hAnsi="Times New Roman" w:cs="Times New Roman"/>
          <w:b/>
          <w:bCs/>
          <w:sz w:val="24"/>
          <w:szCs w:val="24"/>
        </w:rPr>
        <w:t>:</w:t>
      </w: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7.1 Specific Outcomes of the Research</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This research paper undertook a critical exploration into the adoption, application, and impact of AI-based risk assessment </w:t>
      </w:r>
      <w:r>
        <w:rPr>
          <w:rFonts w:ascii="Times New Roman" w:hAnsi="Times New Roman" w:cs="Times New Roman"/>
          <w:sz w:val="24"/>
          <w:szCs w:val="24"/>
        </w:rPr>
        <w:t>tools within the domain of project planning and execution. The specific outcomes of the study are multifaceted:</w:t>
      </w:r>
    </w:p>
    <w:p w:rsidR="0038571C" w:rsidRDefault="00B02913">
      <w:pPr>
        <w:numPr>
          <w:ilvl w:val="0"/>
          <w:numId w:val="14"/>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Identification of Core Challenges:</w:t>
      </w:r>
      <w:r>
        <w:rPr>
          <w:rFonts w:ascii="Times New Roman" w:hAnsi="Times New Roman" w:cs="Times New Roman"/>
          <w:sz w:val="24"/>
          <w:szCs w:val="24"/>
        </w:rPr>
        <w:t xml:space="preserve"> Through an extensive literature review and structured analysis, this study highlighted the primary barriers h</w:t>
      </w:r>
      <w:r>
        <w:rPr>
          <w:rFonts w:ascii="Times New Roman" w:hAnsi="Times New Roman" w:cs="Times New Roman"/>
          <w:sz w:val="24"/>
          <w:szCs w:val="24"/>
        </w:rPr>
        <w:t>indering AI adoption in risk management—namely, data fragmentation, regulatory uncertainty, integration issues, and user resistance.</w:t>
      </w:r>
    </w:p>
    <w:p w:rsidR="0038571C" w:rsidRDefault="00B02913">
      <w:pPr>
        <w:numPr>
          <w:ilvl w:val="0"/>
          <w:numId w:val="14"/>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lastRenderedPageBreak/>
        <w:t>Evaluation of Existing Tools and Techniques:</w:t>
      </w:r>
      <w:r>
        <w:rPr>
          <w:rFonts w:ascii="Times New Roman" w:hAnsi="Times New Roman" w:cs="Times New Roman"/>
          <w:sz w:val="24"/>
          <w:szCs w:val="24"/>
        </w:rPr>
        <w:t xml:space="preserve"> The study examined a range of AI techniques such as machine learning, natural </w:t>
      </w:r>
      <w:r>
        <w:rPr>
          <w:rFonts w:ascii="Times New Roman" w:hAnsi="Times New Roman" w:cs="Times New Roman"/>
          <w:sz w:val="24"/>
          <w:szCs w:val="24"/>
        </w:rPr>
        <w:t>language processing, and expert systems currently being applied in risk modeling. Their comparative performance and limitations were captured through structured tables and visualizations.</w:t>
      </w:r>
    </w:p>
    <w:p w:rsidR="0038571C" w:rsidRDefault="00B02913">
      <w:pPr>
        <w:numPr>
          <w:ilvl w:val="0"/>
          <w:numId w:val="14"/>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Proposal of a Strategic Integration Framework:</w:t>
      </w:r>
      <w:r>
        <w:rPr>
          <w:rFonts w:ascii="Times New Roman" w:hAnsi="Times New Roman" w:cs="Times New Roman"/>
          <w:sz w:val="24"/>
          <w:szCs w:val="24"/>
        </w:rPr>
        <w:t xml:space="preserve"> A four-pillar framewo</w:t>
      </w:r>
      <w:r>
        <w:rPr>
          <w:rFonts w:ascii="Times New Roman" w:hAnsi="Times New Roman" w:cs="Times New Roman"/>
          <w:sz w:val="24"/>
          <w:szCs w:val="24"/>
        </w:rPr>
        <w:t>rk was proposed, emphasizing Data Governance, System Integration, Ethical Transparency, and Organizational Enablement. This framework provides a practical roadmap for gradual AI adoption in complex project environments.</w:t>
      </w:r>
    </w:p>
    <w:p w:rsidR="0038571C" w:rsidRDefault="00B02913">
      <w:pPr>
        <w:numPr>
          <w:ilvl w:val="0"/>
          <w:numId w:val="14"/>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Visualization of Key Risk Dimensions</w:t>
      </w:r>
      <w:r>
        <w:rPr>
          <w:rFonts w:ascii="Times New Roman" w:hAnsi="Times New Roman" w:cs="Times New Roman"/>
          <w:b/>
          <w:bCs/>
          <w:sz w:val="24"/>
          <w:szCs w:val="24"/>
        </w:rPr>
        <w:t>:</w:t>
      </w:r>
      <w:r>
        <w:rPr>
          <w:rFonts w:ascii="Times New Roman" w:hAnsi="Times New Roman" w:cs="Times New Roman"/>
          <w:sz w:val="24"/>
          <w:szCs w:val="24"/>
        </w:rPr>
        <w:t xml:space="preserve"> Graphs and heatmaps were used to visualize critical aspects such as challenge severity, adoption resistance, and regulatory concern prioritization—making the research both informative and actionable.</w:t>
      </w:r>
    </w:p>
    <w:p w:rsidR="0038571C" w:rsidRDefault="00B02913">
      <w:pPr>
        <w:numPr>
          <w:ilvl w:val="0"/>
          <w:numId w:val="14"/>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Industry-Oriented Recommendations:</w:t>
      </w:r>
      <w:r>
        <w:rPr>
          <w:rFonts w:ascii="Times New Roman" w:hAnsi="Times New Roman" w:cs="Times New Roman"/>
          <w:sz w:val="24"/>
          <w:szCs w:val="24"/>
        </w:rPr>
        <w:t xml:space="preserve"> The paper offered s</w:t>
      </w:r>
      <w:r>
        <w:rPr>
          <w:rFonts w:ascii="Times New Roman" w:hAnsi="Times New Roman" w:cs="Times New Roman"/>
          <w:sz w:val="24"/>
          <w:szCs w:val="24"/>
        </w:rPr>
        <w:t>trategic and phased implementation recommendations tailored for real-world project environments, making it highly relevant to industry practitioners.</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Collectively, these outcomes serve to inform both academic inquiry and practical execution strategies for </w:t>
      </w:r>
      <w:r>
        <w:rPr>
          <w:rFonts w:ascii="Times New Roman" w:hAnsi="Times New Roman" w:cs="Times New Roman"/>
          <w:sz w:val="24"/>
          <w:szCs w:val="24"/>
        </w:rPr>
        <w:t>AI deployment in risk assessment.</w:t>
      </w:r>
    </w:p>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7.2 Future Research Directions</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While the study offers a comprehensive analysis, several avenues remain open for deeper investigation and expansion:</w:t>
      </w:r>
    </w:p>
    <w:p w:rsidR="0038571C" w:rsidRDefault="00B02913">
      <w:pPr>
        <w:numPr>
          <w:ilvl w:val="0"/>
          <w:numId w:val="15"/>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Empirical Validation Through Case Studies:</w:t>
      </w:r>
      <w:r>
        <w:rPr>
          <w:rFonts w:ascii="Times New Roman" w:hAnsi="Times New Roman" w:cs="Times New Roman"/>
          <w:sz w:val="24"/>
          <w:szCs w:val="24"/>
        </w:rPr>
        <w:t xml:space="preserve"> Future work should involve lon</w:t>
      </w:r>
      <w:r>
        <w:rPr>
          <w:rFonts w:ascii="Times New Roman" w:hAnsi="Times New Roman" w:cs="Times New Roman"/>
          <w:sz w:val="24"/>
          <w:szCs w:val="24"/>
        </w:rPr>
        <w:t>gitudinal case studies within sectors such as construction, software development, or energy, to observe the real-time impact of AI tools on risk mitigation and project outcomes.</w:t>
      </w:r>
    </w:p>
    <w:p w:rsidR="0038571C" w:rsidRDefault="00B02913">
      <w:pPr>
        <w:numPr>
          <w:ilvl w:val="0"/>
          <w:numId w:val="15"/>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AI Explainability in High-Stakes Projects:</w:t>
      </w:r>
      <w:r>
        <w:rPr>
          <w:rFonts w:ascii="Times New Roman" w:hAnsi="Times New Roman" w:cs="Times New Roman"/>
          <w:sz w:val="24"/>
          <w:szCs w:val="24"/>
        </w:rPr>
        <w:t xml:space="preserve"> As AI systems become decision-support tools in safety-critical projects, research should explore explainable AI (XAI) methods tailored specifically for project risk contexts.</w:t>
      </w:r>
    </w:p>
    <w:p w:rsidR="0038571C" w:rsidRDefault="00B02913">
      <w:pPr>
        <w:numPr>
          <w:ilvl w:val="0"/>
          <w:numId w:val="15"/>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Integration with Agile and Hybrid Project Models:</w:t>
      </w:r>
      <w:r>
        <w:rPr>
          <w:rFonts w:ascii="Times New Roman" w:hAnsi="Times New Roman" w:cs="Times New Roman"/>
          <w:sz w:val="24"/>
          <w:szCs w:val="24"/>
        </w:rPr>
        <w:t xml:space="preserve"> Most existing literature focus</w:t>
      </w:r>
      <w:r>
        <w:rPr>
          <w:rFonts w:ascii="Times New Roman" w:hAnsi="Times New Roman" w:cs="Times New Roman"/>
          <w:sz w:val="24"/>
          <w:szCs w:val="24"/>
        </w:rPr>
        <w:t>es on traditional project management environments. Further research should evaluate how AI risk tools function within agile, lean, or hybrid delivery frameworks.</w:t>
      </w:r>
    </w:p>
    <w:p w:rsidR="0038571C" w:rsidRDefault="00B02913">
      <w:pPr>
        <w:numPr>
          <w:ilvl w:val="0"/>
          <w:numId w:val="15"/>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Behavioral Change and Trust Formation Models:</w:t>
      </w:r>
      <w:r>
        <w:rPr>
          <w:rFonts w:ascii="Times New Roman" w:hAnsi="Times New Roman" w:cs="Times New Roman"/>
          <w:sz w:val="24"/>
          <w:szCs w:val="24"/>
        </w:rPr>
        <w:t xml:space="preserve"> Future studies should delve into how trust in AI</w:t>
      </w:r>
      <w:r>
        <w:rPr>
          <w:rFonts w:ascii="Times New Roman" w:hAnsi="Times New Roman" w:cs="Times New Roman"/>
          <w:sz w:val="24"/>
          <w:szCs w:val="24"/>
        </w:rPr>
        <w:t xml:space="preserve"> evolves within project teams and what socio-cognitive factors drive or hinder its acceptance.</w:t>
      </w:r>
    </w:p>
    <w:p w:rsidR="0038571C" w:rsidRDefault="00B02913">
      <w:pPr>
        <w:numPr>
          <w:ilvl w:val="0"/>
          <w:numId w:val="15"/>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AI and ESG-Linked Risk Factors:</w:t>
      </w:r>
      <w:r>
        <w:rPr>
          <w:rFonts w:ascii="Times New Roman" w:hAnsi="Times New Roman" w:cs="Times New Roman"/>
          <w:sz w:val="24"/>
          <w:szCs w:val="24"/>
        </w:rPr>
        <w:t xml:space="preserve"> Given the growing importance of Environmental, Social, and Governance (ESG) concerns, AI-driven risk models that integrate sustai</w:t>
      </w:r>
      <w:r>
        <w:rPr>
          <w:rFonts w:ascii="Times New Roman" w:hAnsi="Times New Roman" w:cs="Times New Roman"/>
          <w:sz w:val="24"/>
          <w:szCs w:val="24"/>
        </w:rPr>
        <w:t>nability and compliance metrics represent a promising area of research.</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By pursuing these research paths, scholars and practitioners can jointly evolve AI risk tools from experimental solutions to strategic assets in project success.</w:t>
      </w:r>
    </w:p>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7.3 Conclusion</w:t>
      </w:r>
    </w:p>
    <w:p w:rsidR="0038571C" w:rsidRDefault="00B02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This r</w:t>
      </w:r>
      <w:r>
        <w:rPr>
          <w:rFonts w:ascii="Times New Roman" w:hAnsi="Times New Roman" w:cs="Times New Roman"/>
          <w:sz w:val="24"/>
          <w:szCs w:val="24"/>
        </w:rPr>
        <w:t>esearch has thoroughly examined the transformative potential of AI-based risk assessment tools in modern project planning and execution landscapes. As projects grow in complexity and uncertainty, traditional risk management methods are proving inadequate i</w:t>
      </w:r>
      <w:r>
        <w:rPr>
          <w:rFonts w:ascii="Times New Roman" w:hAnsi="Times New Roman" w:cs="Times New Roman"/>
          <w:sz w:val="24"/>
          <w:szCs w:val="24"/>
        </w:rPr>
        <w:t>n providing the speed, precision, and foresight required. Artificial Intelligence—when implemented thoughtfully—offers an opportunity to elevate risk identification, quantification, and mitigation to new levels of accuracy and proactiveness. However, the j</w:t>
      </w:r>
      <w:r>
        <w:rPr>
          <w:rFonts w:ascii="Times New Roman" w:hAnsi="Times New Roman" w:cs="Times New Roman"/>
          <w:sz w:val="24"/>
          <w:szCs w:val="24"/>
        </w:rPr>
        <w:t>ourney toward intelligent risk management is not without challenges. From fragmented data ecosystems and opaque regulations to entrenched resistance among users, the barriers are both technical and behavioral. This study’s proposed framework addresses thes</w:t>
      </w:r>
      <w:r>
        <w:rPr>
          <w:rFonts w:ascii="Times New Roman" w:hAnsi="Times New Roman" w:cs="Times New Roman"/>
          <w:sz w:val="24"/>
          <w:szCs w:val="24"/>
        </w:rPr>
        <w:t xml:space="preserve">e barriers holistically, offering a structured </w:t>
      </w:r>
      <w:r>
        <w:rPr>
          <w:rFonts w:ascii="Times New Roman" w:hAnsi="Times New Roman" w:cs="Times New Roman"/>
          <w:sz w:val="24"/>
          <w:szCs w:val="24"/>
        </w:rPr>
        <w:lastRenderedPageBreak/>
        <w:t xml:space="preserve">pathway for organizations to evolve into data- and AI-mature project environments. Ultimately, AI should not be viewed as a replacement for human judgment but as an augmentation tool—one that empowers project </w:t>
      </w:r>
      <w:r>
        <w:rPr>
          <w:rFonts w:ascii="Times New Roman" w:hAnsi="Times New Roman" w:cs="Times New Roman"/>
          <w:sz w:val="24"/>
          <w:szCs w:val="24"/>
        </w:rPr>
        <w:t>managers, risk analysts, and stakeholders to make more informed, faster, and more resilient decisions. By adopting a phased and transparent approach to AI integration, organizations can not only mitigate risks more effectively but also drive strategic valu</w:t>
      </w:r>
      <w:r>
        <w:rPr>
          <w:rFonts w:ascii="Times New Roman" w:hAnsi="Times New Roman" w:cs="Times New Roman"/>
          <w:sz w:val="24"/>
          <w:szCs w:val="24"/>
        </w:rPr>
        <w:t>e across the project lifecycle. As AI continues to mature, the convergence of data science, behavioral science, and ethical governance will define the next frontier in intelligent project risk management. This research contributes a stepping stone toward t</w:t>
      </w:r>
      <w:r>
        <w:rPr>
          <w:rFonts w:ascii="Times New Roman" w:hAnsi="Times New Roman" w:cs="Times New Roman"/>
          <w:sz w:val="24"/>
          <w:szCs w:val="24"/>
        </w:rPr>
        <w:t>hat future.</w:t>
      </w:r>
    </w:p>
    <w:p w:rsidR="0038571C" w:rsidRDefault="0038571C">
      <w:pPr>
        <w:spacing w:after="0" w:line="240" w:lineRule="auto"/>
        <w:jc w:val="both"/>
        <w:rPr>
          <w:rFonts w:ascii="Times New Roman" w:hAnsi="Times New Roman" w:cs="Times New Roman"/>
          <w:b/>
          <w:bCs/>
          <w:sz w:val="24"/>
          <w:szCs w:val="24"/>
        </w:rPr>
      </w:pPr>
    </w:p>
    <w:p w:rsidR="0038571C" w:rsidRDefault="00B029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References</w:t>
      </w:r>
      <w:r>
        <w:rPr>
          <w:rFonts w:ascii="Times New Roman" w:hAnsi="Times New Roman" w:cs="Times New Roman"/>
          <w:b/>
          <w:bCs/>
          <w:sz w:val="24"/>
          <w:szCs w:val="24"/>
        </w:rPr>
        <w:t>:</w:t>
      </w:r>
    </w:p>
    <w:p w:rsidR="0038571C" w:rsidRDefault="00B02913">
      <w:pPr>
        <w:numPr>
          <w:ilvl w:val="0"/>
          <w:numId w:val="16"/>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Alshammari, A. M., &amp; Hussain, F. K. (2023). Artificial intelligence in risk management: A bibliometric and thematic analysis. </w:t>
      </w:r>
      <w:r>
        <w:rPr>
          <w:rFonts w:ascii="Times New Roman" w:hAnsi="Times New Roman" w:cs="Times New Roman"/>
          <w:i/>
          <w:iCs/>
          <w:sz w:val="24"/>
          <w:szCs w:val="24"/>
        </w:rPr>
        <w:t>Expert Systems with Applications</w:t>
      </w:r>
      <w:r>
        <w:rPr>
          <w:rFonts w:ascii="Times New Roman" w:hAnsi="Times New Roman" w:cs="Times New Roman"/>
          <w:sz w:val="24"/>
          <w:szCs w:val="24"/>
        </w:rPr>
        <w:t>, 213, 119169.</w:t>
      </w:r>
    </w:p>
    <w:p w:rsidR="0038571C" w:rsidRDefault="00B02913">
      <w:pPr>
        <w:numPr>
          <w:ilvl w:val="0"/>
          <w:numId w:val="16"/>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Bakhshi, J., Ireland, V., &amp; Gorod, A. (2022). Machine learning applications for construction project risk management: A review. </w:t>
      </w:r>
      <w:r>
        <w:rPr>
          <w:rFonts w:ascii="Times New Roman" w:hAnsi="Times New Roman" w:cs="Times New Roman"/>
          <w:i/>
          <w:iCs/>
          <w:sz w:val="24"/>
          <w:szCs w:val="24"/>
        </w:rPr>
        <w:t>Automation in Construction</w:t>
      </w:r>
      <w:r>
        <w:rPr>
          <w:rFonts w:ascii="Times New Roman" w:hAnsi="Times New Roman" w:cs="Times New Roman"/>
          <w:sz w:val="24"/>
          <w:szCs w:val="24"/>
        </w:rPr>
        <w:t>, 141, 104443.</w:t>
      </w:r>
    </w:p>
    <w:p w:rsidR="0038571C" w:rsidRDefault="00B02913">
      <w:pPr>
        <w:numPr>
          <w:ilvl w:val="0"/>
          <w:numId w:val="16"/>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Choudhury, M., &amp; Haque, R. (2023). A hybrid AI framework for construction project risk </w:t>
      </w:r>
      <w:r>
        <w:rPr>
          <w:rFonts w:ascii="Times New Roman" w:hAnsi="Times New Roman" w:cs="Times New Roman"/>
          <w:sz w:val="24"/>
          <w:szCs w:val="24"/>
        </w:rPr>
        <w:t xml:space="preserve">analysis using fuzzy logic and deep learning. </w:t>
      </w:r>
      <w:r>
        <w:rPr>
          <w:rFonts w:ascii="Times New Roman" w:hAnsi="Times New Roman" w:cs="Times New Roman"/>
          <w:i/>
          <w:iCs/>
          <w:sz w:val="24"/>
          <w:szCs w:val="24"/>
        </w:rPr>
        <w:t>Engineering, Construction and Architectural Management</w:t>
      </w:r>
      <w:r>
        <w:rPr>
          <w:rFonts w:ascii="Times New Roman" w:hAnsi="Times New Roman" w:cs="Times New Roman"/>
          <w:sz w:val="24"/>
          <w:szCs w:val="24"/>
        </w:rPr>
        <w:t>, 30(2), 380–396.</w:t>
      </w:r>
    </w:p>
    <w:p w:rsidR="0038571C" w:rsidRDefault="00B02913">
      <w:pPr>
        <w:numPr>
          <w:ilvl w:val="0"/>
          <w:numId w:val="16"/>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Dinesh, D., &amp; Thomas, T. (2023). Leveraging natural language processing for identifying project risks in early planning stages. </w:t>
      </w:r>
      <w:r>
        <w:rPr>
          <w:rFonts w:ascii="Times New Roman" w:hAnsi="Times New Roman" w:cs="Times New Roman"/>
          <w:i/>
          <w:iCs/>
          <w:sz w:val="24"/>
          <w:szCs w:val="24"/>
        </w:rPr>
        <w:t>Journal of</w:t>
      </w:r>
      <w:r>
        <w:rPr>
          <w:rFonts w:ascii="Times New Roman" w:hAnsi="Times New Roman" w:cs="Times New Roman"/>
          <w:i/>
          <w:iCs/>
          <w:sz w:val="24"/>
          <w:szCs w:val="24"/>
        </w:rPr>
        <w:t xml:space="preserve"> Construction Engineering and Management</w:t>
      </w:r>
      <w:r>
        <w:rPr>
          <w:rFonts w:ascii="Times New Roman" w:hAnsi="Times New Roman" w:cs="Times New Roman"/>
          <w:sz w:val="24"/>
          <w:szCs w:val="24"/>
        </w:rPr>
        <w:t>, 149(5), 04023020.</w:t>
      </w:r>
    </w:p>
    <w:p w:rsidR="0038571C" w:rsidRDefault="00B02913">
      <w:pPr>
        <w:numPr>
          <w:ilvl w:val="0"/>
          <w:numId w:val="16"/>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Fekete, A., &amp; Hartmann, T. (2022). Predictive project analytics using machine learning: Toward smarter risk mitigation strategies. </w:t>
      </w:r>
      <w:r>
        <w:rPr>
          <w:rFonts w:ascii="Times New Roman" w:hAnsi="Times New Roman" w:cs="Times New Roman"/>
          <w:i/>
          <w:iCs/>
          <w:sz w:val="24"/>
          <w:szCs w:val="24"/>
        </w:rPr>
        <w:t>Project Management Journal</w:t>
      </w:r>
      <w:r>
        <w:rPr>
          <w:rFonts w:ascii="Times New Roman" w:hAnsi="Times New Roman" w:cs="Times New Roman"/>
          <w:sz w:val="24"/>
          <w:szCs w:val="24"/>
        </w:rPr>
        <w:t>, 53(4), 345–359.</w:t>
      </w:r>
    </w:p>
    <w:p w:rsidR="0038571C" w:rsidRDefault="00B02913">
      <w:pPr>
        <w:numPr>
          <w:ilvl w:val="0"/>
          <w:numId w:val="16"/>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Gao, L., &amp; Xu, Z. (20</w:t>
      </w:r>
      <w:r>
        <w:rPr>
          <w:rFonts w:ascii="Times New Roman" w:hAnsi="Times New Roman" w:cs="Times New Roman"/>
          <w:sz w:val="24"/>
          <w:szCs w:val="24"/>
        </w:rPr>
        <w:t xml:space="preserve">24). Explainable AI in project risk prediction: A model interpretation approach using SHAP values. </w:t>
      </w:r>
      <w:r>
        <w:rPr>
          <w:rFonts w:ascii="Times New Roman" w:hAnsi="Times New Roman" w:cs="Times New Roman"/>
          <w:i/>
          <w:iCs/>
          <w:sz w:val="24"/>
          <w:szCs w:val="24"/>
        </w:rPr>
        <w:t>Journal of Risk and Financial Management</w:t>
      </w:r>
      <w:r>
        <w:rPr>
          <w:rFonts w:ascii="Times New Roman" w:hAnsi="Times New Roman" w:cs="Times New Roman"/>
          <w:sz w:val="24"/>
          <w:szCs w:val="24"/>
        </w:rPr>
        <w:t>, 17(1), 82.</w:t>
      </w:r>
    </w:p>
    <w:p w:rsidR="0038571C" w:rsidRDefault="00B02913">
      <w:pPr>
        <w:numPr>
          <w:ilvl w:val="0"/>
          <w:numId w:val="16"/>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Hassan, M. A., &amp; Abubakar, A. (2023). Artificial intelligence integration in risk-based project planning</w:t>
      </w:r>
      <w:r>
        <w:rPr>
          <w:rFonts w:ascii="Times New Roman" w:hAnsi="Times New Roman" w:cs="Times New Roman"/>
          <w:sz w:val="24"/>
          <w:szCs w:val="24"/>
        </w:rPr>
        <w:t xml:space="preserve">: Challenges and opportunities. </w:t>
      </w:r>
      <w:r>
        <w:rPr>
          <w:rFonts w:ascii="Times New Roman" w:hAnsi="Times New Roman" w:cs="Times New Roman"/>
          <w:i/>
          <w:iCs/>
          <w:sz w:val="24"/>
          <w:szCs w:val="24"/>
        </w:rPr>
        <w:t>International Journal of Project Management</w:t>
      </w:r>
      <w:r>
        <w:rPr>
          <w:rFonts w:ascii="Times New Roman" w:hAnsi="Times New Roman" w:cs="Times New Roman"/>
          <w:sz w:val="24"/>
          <w:szCs w:val="24"/>
        </w:rPr>
        <w:t>, 41(3), 182–198.</w:t>
      </w:r>
    </w:p>
    <w:p w:rsidR="0038571C" w:rsidRDefault="00B02913">
      <w:pPr>
        <w:numPr>
          <w:ilvl w:val="0"/>
          <w:numId w:val="16"/>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Jafarnejad, M., &amp; Rezaei, M. (2022). AI-based risk identification in mega infrastructure projects: A case study approach. </w:t>
      </w:r>
      <w:r>
        <w:rPr>
          <w:rFonts w:ascii="Times New Roman" w:hAnsi="Times New Roman" w:cs="Times New Roman"/>
          <w:i/>
          <w:iCs/>
          <w:sz w:val="24"/>
          <w:szCs w:val="24"/>
        </w:rPr>
        <w:t>Engineering Management Journal</w:t>
      </w:r>
      <w:r>
        <w:rPr>
          <w:rFonts w:ascii="Times New Roman" w:hAnsi="Times New Roman" w:cs="Times New Roman"/>
          <w:sz w:val="24"/>
          <w:szCs w:val="24"/>
        </w:rPr>
        <w:t>, 34(3), 21</w:t>
      </w:r>
      <w:r>
        <w:rPr>
          <w:rFonts w:ascii="Times New Roman" w:hAnsi="Times New Roman" w:cs="Times New Roman"/>
          <w:sz w:val="24"/>
          <w:szCs w:val="24"/>
        </w:rPr>
        <w:t>5–228.</w:t>
      </w:r>
    </w:p>
    <w:p w:rsidR="0038571C" w:rsidRDefault="00B02913">
      <w:pPr>
        <w:numPr>
          <w:ilvl w:val="0"/>
          <w:numId w:val="16"/>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Kim, H., &amp; Kim, T. (2024). Deep learning-based probabilistic risk models for project execution. </w:t>
      </w:r>
      <w:r>
        <w:rPr>
          <w:rFonts w:ascii="Times New Roman" w:hAnsi="Times New Roman" w:cs="Times New Roman"/>
          <w:i/>
          <w:iCs/>
          <w:sz w:val="24"/>
          <w:szCs w:val="24"/>
        </w:rPr>
        <w:t>Automation in Construction</w:t>
      </w:r>
      <w:r>
        <w:rPr>
          <w:rFonts w:ascii="Times New Roman" w:hAnsi="Times New Roman" w:cs="Times New Roman"/>
          <w:sz w:val="24"/>
          <w:szCs w:val="24"/>
        </w:rPr>
        <w:t>, 147, 104812.</w:t>
      </w:r>
    </w:p>
    <w:p w:rsidR="0038571C" w:rsidRDefault="00B02913">
      <w:pPr>
        <w:numPr>
          <w:ilvl w:val="0"/>
          <w:numId w:val="16"/>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Lin, C. H., &amp; Wu, Y. C. (2023). Enhancing project risk evaluation using ensemble machine learning techniques. </w:t>
      </w:r>
      <w:r>
        <w:rPr>
          <w:rFonts w:ascii="Times New Roman" w:hAnsi="Times New Roman" w:cs="Times New Roman"/>
          <w:i/>
          <w:iCs/>
          <w:sz w:val="24"/>
          <w:szCs w:val="24"/>
        </w:rPr>
        <w:t>IE</w:t>
      </w:r>
      <w:r>
        <w:rPr>
          <w:rFonts w:ascii="Times New Roman" w:hAnsi="Times New Roman" w:cs="Times New Roman"/>
          <w:i/>
          <w:iCs/>
          <w:sz w:val="24"/>
          <w:szCs w:val="24"/>
        </w:rPr>
        <w:t>EE Transactions on Engineering Management</w:t>
      </w:r>
      <w:r>
        <w:rPr>
          <w:rFonts w:ascii="Times New Roman" w:hAnsi="Times New Roman" w:cs="Times New Roman"/>
          <w:sz w:val="24"/>
          <w:szCs w:val="24"/>
        </w:rPr>
        <w:t>, 70(1), 50–62.</w:t>
      </w:r>
    </w:p>
    <w:p w:rsidR="0038571C" w:rsidRDefault="00B02913">
      <w:pPr>
        <w:pStyle w:val="ListParagraph"/>
        <w:numPr>
          <w:ilvl w:val="0"/>
          <w:numId w:val="16"/>
        </w:numPr>
        <w:shd w:val="clear" w:color="auto" w:fill="FFFFFF"/>
        <w:spacing w:after="0" w:line="240" w:lineRule="auto"/>
        <w:ind w:left="0" w:firstLine="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Vinod H. Patil, Sheela Hundekari, Anurag Shrivastava, Design and Implementation of an IoT-Based</w:t>
      </w:r>
    </w:p>
    <w:p w:rsidR="0038571C" w:rsidRDefault="00B02913">
      <w:pPr>
        <w:pStyle w:val="ListParagraph"/>
        <w:shd w:val="clear" w:color="auto" w:fill="FFFFFF"/>
        <w:spacing w:after="0"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Smart Grid Monitoring System for Real-Time Energy Management, Vol. 11 No. 1 (2025): IJCESEN.</w:t>
      </w:r>
    </w:p>
    <w:p w:rsidR="0038571C" w:rsidRDefault="00B02913">
      <w:pPr>
        <w:pStyle w:val="ListParagraph"/>
        <w:shd w:val="clear" w:color="auto" w:fill="FFFFFF"/>
        <w:spacing w:after="0" w:line="240" w:lineRule="auto"/>
        <w:ind w:left="0"/>
        <w:rPr>
          <w:rFonts w:ascii="Times New Roman" w:eastAsia="Times New Roman" w:hAnsi="Times New Roman" w:cs="Times New Roman"/>
          <w:color w:val="222222"/>
          <w:sz w:val="24"/>
          <w:szCs w:val="24"/>
        </w:rPr>
      </w:pPr>
      <w:hyperlink r:id="rId20" w:history="1">
        <w:r>
          <w:rPr>
            <w:rStyle w:val="Hyperlink"/>
            <w:rFonts w:ascii="Times New Roman" w:eastAsia="Times New Roman" w:hAnsi="Times New Roman" w:cs="Times New Roman"/>
            <w:sz w:val="24"/>
            <w:szCs w:val="24"/>
          </w:rPr>
          <w:t>https://doi.org/10.22399/ijcesen.854</w:t>
        </w:r>
      </w:hyperlink>
    </w:p>
    <w:p w:rsidR="0038571C" w:rsidRDefault="00B02913">
      <w:pPr>
        <w:pStyle w:val="ListParagraph"/>
        <w:numPr>
          <w:ilvl w:val="0"/>
          <w:numId w:val="16"/>
        </w:numPr>
        <w:shd w:val="clear" w:color="auto" w:fill="FFFFFF"/>
        <w:spacing w:after="0" w:line="240" w:lineRule="auto"/>
        <w:ind w:left="0" w:firstLine="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Dr. Sheela Hundekari, Dr. Jyoti Upadhyay, Dr. Anurag Shrivastava, Guntaj J, Saloni Bansal5, Alok</w:t>
      </w:r>
    </w:p>
    <w:p w:rsidR="0038571C" w:rsidRDefault="00B02913">
      <w:pPr>
        <w:pStyle w:val="ListParagraph"/>
        <w:shd w:val="clear" w:color="auto" w:fill="FFFFFF"/>
        <w:spacing w:after="0"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Jain, Cybersecurity Threats in Digital Payment Systems (DPS): A Data </w:t>
      </w:r>
      <w:r>
        <w:rPr>
          <w:rFonts w:ascii="Times New Roman" w:eastAsia="Times New Roman" w:hAnsi="Times New Roman" w:cs="Times New Roman"/>
          <w:color w:val="222222"/>
          <w:sz w:val="24"/>
          <w:szCs w:val="24"/>
        </w:rPr>
        <w:t>Science Perspective, Journal of</w:t>
      </w:r>
    </w:p>
    <w:p w:rsidR="0038571C" w:rsidRDefault="00B02913">
      <w:pPr>
        <w:pStyle w:val="ListParagraph"/>
        <w:shd w:val="clear" w:color="auto" w:fill="FFFFFF"/>
        <w:spacing w:after="0"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Information Systems Engineering and Management, 2025,10(13</w:t>
      </w:r>
      <w:proofErr w:type="gramStart"/>
      <w:r>
        <w:rPr>
          <w:rFonts w:ascii="Times New Roman" w:eastAsia="Times New Roman" w:hAnsi="Times New Roman" w:cs="Times New Roman"/>
          <w:color w:val="222222"/>
          <w:sz w:val="24"/>
          <w:szCs w:val="24"/>
        </w:rPr>
        <w:t>s)e</w:t>
      </w:r>
      <w:proofErr w:type="gramEnd"/>
      <w:r>
        <w:rPr>
          <w:rFonts w:ascii="Times New Roman" w:eastAsia="Times New Roman" w:hAnsi="Times New Roman" w:cs="Times New Roman"/>
          <w:color w:val="222222"/>
          <w:sz w:val="24"/>
          <w:szCs w:val="24"/>
        </w:rPr>
        <w:t>-ISSN:2468-4376.</w:t>
      </w:r>
    </w:p>
    <w:p w:rsidR="0038571C" w:rsidRDefault="00B02913">
      <w:pPr>
        <w:pStyle w:val="ListParagraph"/>
        <w:shd w:val="clear" w:color="auto" w:fill="FFFFFF"/>
        <w:spacing w:after="0" w:line="240" w:lineRule="auto"/>
        <w:ind w:left="0"/>
        <w:rPr>
          <w:rFonts w:ascii="Times New Roman" w:eastAsia="Times New Roman" w:hAnsi="Times New Roman" w:cs="Times New Roman"/>
          <w:color w:val="222222"/>
          <w:sz w:val="24"/>
          <w:szCs w:val="24"/>
        </w:rPr>
      </w:pPr>
      <w:hyperlink r:id="rId21" w:history="1">
        <w:r>
          <w:rPr>
            <w:rStyle w:val="Hyperlink"/>
            <w:rFonts w:ascii="Times New Roman" w:eastAsia="Times New Roman" w:hAnsi="Times New Roman" w:cs="Times New Roman"/>
            <w:sz w:val="24"/>
            <w:szCs w:val="24"/>
          </w:rPr>
          <w:t>https://doi.org/10.52783/jisem.v10i13s.2104</w:t>
        </w:r>
      </w:hyperlink>
    </w:p>
    <w:p w:rsidR="0038571C" w:rsidRDefault="00B02913">
      <w:pPr>
        <w:pStyle w:val="ListParagraph"/>
        <w:numPr>
          <w:ilvl w:val="0"/>
          <w:numId w:val="16"/>
        </w:numPr>
        <w:shd w:val="clear" w:color="auto" w:fill="FFFFFF"/>
        <w:spacing w:after="0" w:line="240" w:lineRule="auto"/>
        <w:ind w:left="0" w:firstLine="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Sheela Hhundekari, Advances in Crowd Count</w:t>
      </w:r>
      <w:r>
        <w:rPr>
          <w:rFonts w:ascii="Times New Roman" w:eastAsia="Times New Roman" w:hAnsi="Times New Roman" w:cs="Times New Roman"/>
          <w:color w:val="222222"/>
          <w:sz w:val="24"/>
          <w:szCs w:val="24"/>
        </w:rPr>
        <w:t>ing and Density Estimation Using Convolutional Neural</w:t>
      </w:r>
    </w:p>
    <w:p w:rsidR="0038571C" w:rsidRDefault="00B02913">
      <w:pPr>
        <w:pStyle w:val="ListParagraph"/>
        <w:shd w:val="clear" w:color="auto" w:fill="FFFFFF"/>
        <w:spacing w:after="0"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Networks, International Journal of Intelligent Systems and Applications in Engineering, Volume 12,</w:t>
      </w:r>
    </w:p>
    <w:p w:rsidR="0038571C" w:rsidRDefault="00B02913">
      <w:pPr>
        <w:pStyle w:val="ListParagraph"/>
        <w:shd w:val="clear" w:color="auto" w:fill="FFFFFF"/>
        <w:spacing w:after="0"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Issue no. 6s (2024) Pages 707–719</w:t>
      </w:r>
    </w:p>
    <w:p w:rsidR="0038571C" w:rsidRDefault="00B02913">
      <w:pPr>
        <w:pStyle w:val="ListParagraph"/>
        <w:numPr>
          <w:ilvl w:val="0"/>
          <w:numId w:val="16"/>
        </w:numPr>
        <w:shd w:val="clear" w:color="auto" w:fill="FFFFFF"/>
        <w:spacing w:after="0" w:line="240" w:lineRule="auto"/>
        <w:ind w:left="0" w:firstLine="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K. Upreti, P. Vats, G. Borkhade, R. D. Raut, S. Hundekari and J. Para</w:t>
      </w:r>
      <w:r>
        <w:rPr>
          <w:rFonts w:ascii="Times New Roman" w:eastAsia="Times New Roman" w:hAnsi="Times New Roman" w:cs="Times New Roman"/>
          <w:color w:val="222222"/>
          <w:sz w:val="24"/>
          <w:szCs w:val="24"/>
        </w:rPr>
        <w:t>shar, "An IoHT System Utilizing Smart Contracts for Machine Learning -Based Authentication," 2023 International Conference on Emerging Trends in Networks and Computer Communications (ETNCC), Windhoek, Namibia, 2023, pp. 1-6, doi: 10.1109/ETNCC59188.2023.10</w:t>
      </w:r>
      <w:r>
        <w:rPr>
          <w:rFonts w:ascii="Times New Roman" w:eastAsia="Times New Roman" w:hAnsi="Times New Roman" w:cs="Times New Roman"/>
          <w:color w:val="222222"/>
          <w:sz w:val="24"/>
          <w:szCs w:val="24"/>
        </w:rPr>
        <w:t>284960.</w:t>
      </w:r>
    </w:p>
    <w:p w:rsidR="0038571C" w:rsidRDefault="00B02913">
      <w:pPr>
        <w:pStyle w:val="ListParagraph"/>
        <w:numPr>
          <w:ilvl w:val="0"/>
          <w:numId w:val="16"/>
        </w:numPr>
        <w:shd w:val="clear" w:color="auto" w:fill="FFFFFF"/>
        <w:spacing w:after="0" w:line="240" w:lineRule="auto"/>
        <w:ind w:left="0" w:firstLine="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R. C. Poonia, K. Upreti, S. Hundekari, P. Dadhich, K. Malik and A. Kapoor, "An Improved Image Up-Scaling Technique using Optimize Filter and Iterative Gradient Method," 2023 3rd International Conference on Mobile Networks and Wireless </w:t>
      </w:r>
      <w:r>
        <w:rPr>
          <w:rFonts w:ascii="Times New Roman" w:eastAsia="Times New Roman" w:hAnsi="Times New Roman" w:cs="Times New Roman"/>
          <w:color w:val="222222"/>
          <w:sz w:val="24"/>
          <w:szCs w:val="24"/>
        </w:rPr>
        <w:t>Communications (ICMNWC), Tumkur, India, 2023, pp. 1-8, doi: 10.1109/ICMNWC60182.2023.10435962.</w:t>
      </w:r>
    </w:p>
    <w:p w:rsidR="0038571C" w:rsidRDefault="00B02913">
      <w:pPr>
        <w:pStyle w:val="ListParagraph"/>
        <w:numPr>
          <w:ilvl w:val="0"/>
          <w:numId w:val="16"/>
        </w:numPr>
        <w:shd w:val="clear" w:color="auto" w:fill="FFFFFF"/>
        <w:spacing w:after="0" w:line="240" w:lineRule="auto"/>
        <w:ind w:left="0" w:firstLine="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Araddhana Arvind Deshmukh; Shailesh Pramod Bendale; Sheela Hundekari; Abhijit Chitre; Kirti Wanjale; Amol Dhumane; Garima Chopra; Shalli Rani, "Enhancing Scalabi</w:t>
      </w:r>
      <w:r>
        <w:rPr>
          <w:rFonts w:ascii="Times New Roman" w:eastAsia="Times New Roman" w:hAnsi="Times New Roman" w:cs="Times New Roman"/>
          <w:color w:val="222222"/>
          <w:sz w:val="24"/>
          <w:szCs w:val="24"/>
        </w:rPr>
        <w:t>lity and Performance in Networked Applications Through Smart Computing Resource Allocation," in Current and Future Cellular Systems: Technologies, Applications, and Challenges, IEEE, 2025, pp.227-250, doi: 10.1002/9781394256075.ch12</w:t>
      </w:r>
    </w:p>
    <w:p w:rsidR="0038571C" w:rsidRDefault="00B02913">
      <w:pPr>
        <w:pStyle w:val="ListParagraph"/>
        <w:numPr>
          <w:ilvl w:val="0"/>
          <w:numId w:val="16"/>
        </w:numPr>
        <w:shd w:val="clear" w:color="auto" w:fill="FFFFFF"/>
        <w:spacing w:after="0" w:line="240" w:lineRule="auto"/>
        <w:ind w:left="0" w:firstLine="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K. Upreti, A. Sharma, </w:t>
      </w:r>
      <w:r>
        <w:rPr>
          <w:rFonts w:ascii="Times New Roman" w:eastAsia="Times New Roman" w:hAnsi="Times New Roman" w:cs="Times New Roman"/>
          <w:color w:val="222222"/>
          <w:sz w:val="24"/>
          <w:szCs w:val="24"/>
        </w:rPr>
        <w:t>V. Khatri, S. Hundekari, V. Gautam and A. Kapoor, "Analysis of Fraud Prediction and Detection Through Machine Learning," 2023 International Conference on Network, Multimedia and Information Technology (NMITCON), Bengaluru, India, 2023, pp. 1-9, doi: 10.110</w:t>
      </w:r>
      <w:r>
        <w:rPr>
          <w:rFonts w:ascii="Times New Roman" w:eastAsia="Times New Roman" w:hAnsi="Times New Roman" w:cs="Times New Roman"/>
          <w:color w:val="222222"/>
          <w:sz w:val="24"/>
          <w:szCs w:val="24"/>
        </w:rPr>
        <w:t>9/NMITCON58196.2023.10276042.</w:t>
      </w:r>
    </w:p>
    <w:p w:rsidR="0038571C" w:rsidRDefault="00B02913">
      <w:pPr>
        <w:pStyle w:val="ListParagraph"/>
        <w:numPr>
          <w:ilvl w:val="0"/>
          <w:numId w:val="16"/>
        </w:numPr>
        <w:shd w:val="clear" w:color="auto" w:fill="FFFFFF"/>
        <w:spacing w:after="0" w:line="240" w:lineRule="auto"/>
        <w:ind w:left="0" w:firstLine="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K. Upreti et al., "Deep Dive </w:t>
      </w:r>
      <w:proofErr w:type="gramStart"/>
      <w:r>
        <w:rPr>
          <w:rFonts w:ascii="Times New Roman" w:eastAsia="Times New Roman" w:hAnsi="Times New Roman" w:cs="Times New Roman"/>
          <w:color w:val="222222"/>
          <w:sz w:val="24"/>
          <w:szCs w:val="24"/>
        </w:rPr>
        <w:t>Into</w:t>
      </w:r>
      <w:proofErr w:type="gramEnd"/>
      <w:r>
        <w:rPr>
          <w:rFonts w:ascii="Times New Roman" w:eastAsia="Times New Roman" w:hAnsi="Times New Roman" w:cs="Times New Roman"/>
          <w:color w:val="222222"/>
          <w:sz w:val="24"/>
          <w:szCs w:val="24"/>
        </w:rPr>
        <w:t xml:space="preserve"> Diabetic Retinopathy Identification: A Deep Learning Approach with Blood Vessel Segmentation and Lesion Detection," in Journal of Mobile Multimedia, vol. 20, no. 2, pp. 495-523, March 2024, do</w:t>
      </w:r>
      <w:r>
        <w:rPr>
          <w:rFonts w:ascii="Times New Roman" w:eastAsia="Times New Roman" w:hAnsi="Times New Roman" w:cs="Times New Roman"/>
          <w:color w:val="222222"/>
          <w:sz w:val="24"/>
          <w:szCs w:val="24"/>
        </w:rPr>
        <w:t>i: 10.13052/jmm1550-4646.20210.</w:t>
      </w:r>
    </w:p>
    <w:p w:rsidR="0038571C" w:rsidRDefault="00B02913">
      <w:pPr>
        <w:pStyle w:val="ListParagraph"/>
        <w:numPr>
          <w:ilvl w:val="0"/>
          <w:numId w:val="16"/>
        </w:numPr>
        <w:shd w:val="clear" w:color="auto" w:fill="FFFFFF"/>
        <w:spacing w:after="0" w:line="240" w:lineRule="auto"/>
        <w:ind w:left="0" w:firstLine="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 T. Siddiqui, H. Khan, M. I. Alam, K. Upreti, S. Panwar and S. Hundekari, "A Systematic Review of the Future of Education in Perspective of Block Chain," in Journal of Mobile Multimedia, vol. 19, no. 5, pp. 1221-1254, Sept</w:t>
      </w:r>
      <w:r>
        <w:rPr>
          <w:rFonts w:ascii="Times New Roman" w:eastAsia="Times New Roman" w:hAnsi="Times New Roman" w:cs="Times New Roman"/>
          <w:color w:val="222222"/>
          <w:sz w:val="24"/>
          <w:szCs w:val="24"/>
        </w:rPr>
        <w:t>ember 2023, doi: 10.13052/jmm1550-4646.1955.</w:t>
      </w:r>
    </w:p>
    <w:p w:rsidR="0038571C" w:rsidRDefault="00B02913">
      <w:pPr>
        <w:pStyle w:val="ListParagraph"/>
        <w:numPr>
          <w:ilvl w:val="0"/>
          <w:numId w:val="16"/>
        </w:numPr>
        <w:shd w:val="clear" w:color="auto" w:fill="FFFFFF"/>
        <w:spacing w:after="0" w:line="240" w:lineRule="auto"/>
        <w:ind w:left="0" w:firstLine="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R. Praveen, S. Hundekari, P. Parida, T. Mittal, A. Sehgal and M. Bhavana, "Autonomous Vehicle Navigation Systems: Machine Learning for Real-Time Traffic Prediction," 2025 International Conference on Computationa</w:t>
      </w:r>
      <w:r>
        <w:rPr>
          <w:rFonts w:ascii="Times New Roman" w:eastAsia="Times New Roman" w:hAnsi="Times New Roman" w:cs="Times New Roman"/>
          <w:color w:val="222222"/>
          <w:sz w:val="24"/>
          <w:szCs w:val="24"/>
        </w:rPr>
        <w:t>l, Communication and Information Technology (ICCCIT), Indore, India, 2025, pp. 809-813, doi: 10.1109/ICCCIT62592.2025.10927797</w:t>
      </w:r>
    </w:p>
    <w:p w:rsidR="0038571C" w:rsidRDefault="00B02913">
      <w:pPr>
        <w:pStyle w:val="ListParagraph"/>
        <w:numPr>
          <w:ilvl w:val="0"/>
          <w:numId w:val="16"/>
        </w:numPr>
        <w:shd w:val="clear" w:color="auto" w:fill="FFFFFF"/>
        <w:spacing w:after="0" w:line="240" w:lineRule="auto"/>
        <w:ind w:left="0" w:firstLine="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S. Gupta et al., "Aspect Based Feature Extraction in Sentiment Analysis Using Bi-GRU-LSTM Model," in Journal of Mobile Multimedi</w:t>
      </w:r>
      <w:r>
        <w:rPr>
          <w:rFonts w:ascii="Times New Roman" w:eastAsia="Times New Roman" w:hAnsi="Times New Roman" w:cs="Times New Roman"/>
          <w:color w:val="222222"/>
          <w:sz w:val="24"/>
          <w:szCs w:val="24"/>
        </w:rPr>
        <w:t>a, vol. 20, no. 4, pp. 935-960, July 2024, doi: 10.13052/jmm1550-4646.2048</w:t>
      </w:r>
    </w:p>
    <w:p w:rsidR="0038571C" w:rsidRDefault="00B02913">
      <w:pPr>
        <w:pStyle w:val="ListParagraph"/>
        <w:numPr>
          <w:ilvl w:val="0"/>
          <w:numId w:val="16"/>
        </w:numPr>
        <w:shd w:val="clear" w:color="auto" w:fill="FFFFFF"/>
        <w:spacing w:after="0" w:line="240" w:lineRule="auto"/>
        <w:ind w:left="0" w:firstLine="0"/>
        <w:rPr>
          <w:rFonts w:ascii="Times New Roman" w:eastAsia="Times New Roman" w:hAnsi="Times New Roman" w:cs="Times New Roman"/>
          <w:color w:val="222222"/>
          <w:sz w:val="24"/>
          <w:szCs w:val="24"/>
        </w:rPr>
      </w:pPr>
      <w:r>
        <w:rPr>
          <w:rFonts w:ascii="Times New Roman" w:hAnsi="Times New Roman" w:cs="Times New Roman"/>
          <w:color w:val="333333"/>
          <w:sz w:val="24"/>
          <w:szCs w:val="24"/>
          <w:shd w:val="clear" w:color="auto" w:fill="FFFFFF"/>
        </w:rPr>
        <w:t>P. William, G. Sharma, K. Kapil, P. Srivastava, A. Shrivastava and R. Kumar, "Automation Techniques Using AI Based Cloud Computing and Blockchain for Business Management," </w:t>
      </w:r>
      <w:r>
        <w:rPr>
          <w:rFonts w:ascii="Times New Roman" w:hAnsi="Times New Roman" w:cs="Times New Roman"/>
          <w:i/>
          <w:iCs/>
          <w:color w:val="333333"/>
          <w:sz w:val="24"/>
          <w:szCs w:val="24"/>
          <w:shd w:val="clear" w:color="auto" w:fill="FFFFFF"/>
        </w:rPr>
        <w:t xml:space="preserve">2023 4th </w:t>
      </w:r>
      <w:r>
        <w:rPr>
          <w:rFonts w:ascii="Times New Roman" w:hAnsi="Times New Roman" w:cs="Times New Roman"/>
          <w:i/>
          <w:iCs/>
          <w:color w:val="333333"/>
          <w:sz w:val="24"/>
          <w:szCs w:val="24"/>
          <w:shd w:val="clear" w:color="auto" w:fill="FFFFFF"/>
        </w:rPr>
        <w:t>International Conference on Computation, Automation and Knowledge Management (ICCAKM)</w:t>
      </w:r>
      <w:r>
        <w:rPr>
          <w:rFonts w:ascii="Times New Roman" w:hAnsi="Times New Roman" w:cs="Times New Roman"/>
          <w:color w:val="333333"/>
          <w:sz w:val="24"/>
          <w:szCs w:val="24"/>
          <w:shd w:val="clear" w:color="auto" w:fill="FFFFFF"/>
        </w:rPr>
        <w:t>, Dubai, United Arab Emirates, 2023, pp. 1-6, doi:10.1109/ICCAKM58659.2023.10449534.</w:t>
      </w:r>
    </w:p>
    <w:p w:rsidR="0038571C" w:rsidRDefault="00B02913">
      <w:pPr>
        <w:pStyle w:val="ListParagraph"/>
        <w:numPr>
          <w:ilvl w:val="0"/>
          <w:numId w:val="16"/>
        </w:numPr>
        <w:spacing w:after="0" w:line="240" w:lineRule="auto"/>
        <w:ind w:left="0" w:firstLine="0"/>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A. Rana, A. Reddy, A. Shrivastava, D. Verma, M. S. Ansari and D. Singh, "Secure and </w:t>
      </w:r>
      <w:r>
        <w:rPr>
          <w:rFonts w:ascii="Times New Roman" w:hAnsi="Times New Roman" w:cs="Times New Roman"/>
          <w:color w:val="333333"/>
          <w:sz w:val="24"/>
          <w:szCs w:val="24"/>
          <w:shd w:val="clear" w:color="auto" w:fill="FFFFFF"/>
        </w:rPr>
        <w:t>Smart Healthcare System using IoT and Deep Learning Models," </w:t>
      </w:r>
      <w:r>
        <w:rPr>
          <w:rFonts w:ascii="Times New Roman" w:hAnsi="Times New Roman" w:cs="Times New Roman"/>
          <w:i/>
          <w:iCs/>
          <w:color w:val="333333"/>
          <w:sz w:val="24"/>
          <w:szCs w:val="24"/>
          <w:shd w:val="clear" w:color="auto" w:fill="FFFFFF"/>
        </w:rPr>
        <w:t>2022 2nd International Conference on Technological Advancements in Computational Sciences (ICTACS)</w:t>
      </w:r>
      <w:r>
        <w:rPr>
          <w:rFonts w:ascii="Times New Roman" w:hAnsi="Times New Roman" w:cs="Times New Roman"/>
          <w:color w:val="333333"/>
          <w:sz w:val="24"/>
          <w:szCs w:val="24"/>
          <w:shd w:val="clear" w:color="auto" w:fill="FFFFFF"/>
        </w:rPr>
        <w:t>, Tashkent, Uzbekistan, 2022, pp. 915-922, doi: 10.1109/ICTACS56270.2022.9988676.</w:t>
      </w:r>
    </w:p>
    <w:p w:rsidR="0038571C" w:rsidRDefault="00B02913">
      <w:pPr>
        <w:pStyle w:val="ListParagraph"/>
        <w:numPr>
          <w:ilvl w:val="0"/>
          <w:numId w:val="16"/>
        </w:numPr>
        <w:spacing w:after="0" w:line="240" w:lineRule="auto"/>
        <w:ind w:left="0" w:firstLine="0"/>
        <w:rPr>
          <w:rFonts w:ascii="Times New Roman" w:hAnsi="Times New Roman" w:cs="Times New Roman"/>
          <w:color w:val="333333"/>
          <w:sz w:val="24"/>
          <w:szCs w:val="24"/>
          <w:shd w:val="clear" w:color="auto" w:fill="FFFFFF"/>
        </w:rPr>
      </w:pPr>
      <w:hyperlink r:id="rId22" w:tooltip="Neha Sharma" w:history="1">
        <w:r>
          <w:rPr>
            <w:rFonts w:ascii="Times New Roman" w:hAnsi="Times New Roman" w:cs="Times New Roman"/>
            <w:color w:val="595959"/>
            <w:sz w:val="24"/>
            <w:szCs w:val="24"/>
          </w:rPr>
          <w:t>Neha Sharma</w:t>
        </w:r>
      </w:hyperlink>
      <w:r>
        <w:rPr>
          <w:rFonts w:ascii="Times New Roman" w:hAnsi="Times New Roman" w:cs="Times New Roman"/>
          <w:color w:val="6B6B6B"/>
          <w:sz w:val="24"/>
          <w:szCs w:val="24"/>
          <w:shd w:val="clear" w:color="auto" w:fill="FFFFFF"/>
        </w:rPr>
        <w:t>, </w:t>
      </w:r>
      <w:hyperlink r:id="rId23" w:tooltip="Mukesh Soni" w:history="1">
        <w:r>
          <w:rPr>
            <w:rFonts w:ascii="Times New Roman" w:hAnsi="Times New Roman" w:cs="Times New Roman"/>
            <w:color w:val="595959"/>
            <w:sz w:val="24"/>
            <w:szCs w:val="24"/>
          </w:rPr>
          <w:t>Mukesh Soni</w:t>
        </w:r>
      </w:hyperlink>
      <w:r>
        <w:rPr>
          <w:rFonts w:ascii="Times New Roman" w:hAnsi="Times New Roman" w:cs="Times New Roman"/>
          <w:color w:val="6B6B6B"/>
          <w:sz w:val="24"/>
          <w:szCs w:val="24"/>
          <w:shd w:val="clear" w:color="auto" w:fill="FFFFFF"/>
        </w:rPr>
        <w:t>, </w:t>
      </w:r>
      <w:hyperlink r:id="rId24" w:tooltip="Sumit Kumar" w:history="1">
        <w:r>
          <w:rPr>
            <w:rFonts w:ascii="Times New Roman" w:hAnsi="Times New Roman" w:cs="Times New Roman"/>
            <w:color w:val="595959"/>
            <w:sz w:val="24"/>
            <w:szCs w:val="24"/>
          </w:rPr>
          <w:t>Sumit Kumar</w:t>
        </w:r>
      </w:hyperlink>
      <w:r>
        <w:rPr>
          <w:rFonts w:ascii="Times New Roman" w:hAnsi="Times New Roman" w:cs="Times New Roman"/>
          <w:color w:val="6B6B6B"/>
          <w:sz w:val="24"/>
          <w:szCs w:val="24"/>
          <w:shd w:val="clear" w:color="auto" w:fill="FFFFFF"/>
        </w:rPr>
        <w:t>, </w:t>
      </w:r>
      <w:hyperlink r:id="rId25" w:tooltip="Rajeev Kumar" w:history="1">
        <w:r>
          <w:rPr>
            <w:rFonts w:ascii="Times New Roman" w:hAnsi="Times New Roman" w:cs="Times New Roman"/>
            <w:color w:val="595959"/>
            <w:sz w:val="24"/>
            <w:szCs w:val="24"/>
          </w:rPr>
          <w:t>Rajeev Kumar</w:t>
        </w:r>
      </w:hyperlink>
      <w:r>
        <w:rPr>
          <w:rFonts w:ascii="Times New Roman" w:hAnsi="Times New Roman" w:cs="Times New Roman"/>
          <w:color w:val="6B6B6B"/>
          <w:sz w:val="24"/>
          <w:szCs w:val="24"/>
          <w:shd w:val="clear" w:color="auto" w:fill="FFFFFF"/>
        </w:rPr>
        <w:t>,</w:t>
      </w:r>
      <w:r>
        <w:rPr>
          <w:rFonts w:ascii="Times New Roman" w:hAnsi="Times New Roman" w:cs="Times New Roman"/>
          <w:color w:val="595959"/>
          <w:sz w:val="24"/>
          <w:szCs w:val="24"/>
        </w:rPr>
        <w:t xml:space="preserve"> Anurag Shrivastava, </w:t>
      </w:r>
      <w:r>
        <w:rPr>
          <w:rFonts w:ascii="Times New Roman" w:eastAsia="Times New Roman" w:hAnsi="Times New Roman" w:cs="Times New Roman"/>
          <w:color w:val="000000"/>
          <w:kern w:val="36"/>
          <w:sz w:val="24"/>
          <w:szCs w:val="24"/>
        </w:rPr>
        <w:t>Supervised Machine Learning Method for Ontology-based Financial Decisions in the Stock Market</w:t>
      </w:r>
      <w:r>
        <w:rPr>
          <w:rFonts w:ascii="Times New Roman" w:hAnsi="Times New Roman" w:cs="Times New Roman"/>
          <w:color w:val="6B6B6B"/>
          <w:sz w:val="24"/>
          <w:szCs w:val="24"/>
          <w:shd w:val="clear" w:color="auto" w:fill="FFFFFF"/>
        </w:rPr>
        <w:t xml:space="preserve">, </w:t>
      </w:r>
      <w:hyperlink r:id="rId26" w:history="1">
        <w:r>
          <w:rPr>
            <w:rFonts w:ascii="Times New Roman" w:eastAsia="Times New Roman" w:hAnsi="Times New Roman" w:cs="Times New Roman"/>
            <w:color w:val="000000" w:themeColor="text1"/>
            <w:sz w:val="24"/>
            <w:szCs w:val="24"/>
          </w:rPr>
          <w:t>A</w:t>
        </w:r>
        <w:r>
          <w:rPr>
            <w:rFonts w:ascii="Times New Roman" w:eastAsia="Times New Roman" w:hAnsi="Times New Roman" w:cs="Times New Roman"/>
            <w:color w:val="000000" w:themeColor="text1"/>
            <w:sz w:val="24"/>
            <w:szCs w:val="24"/>
          </w:rPr>
          <w:t xml:space="preserve">CM Transactions on Asian and Low-Resource Language </w:t>
        </w:r>
        <w:r>
          <w:rPr>
            <w:rFonts w:ascii="Times New Roman" w:eastAsia="Times New Roman" w:hAnsi="Times New Roman" w:cs="Times New Roman"/>
            <w:color w:val="000000" w:themeColor="text1"/>
            <w:sz w:val="24"/>
            <w:szCs w:val="24"/>
          </w:rPr>
          <w:lastRenderedPageBreak/>
          <w:t>InformationProcessing, Volume 22, Issue 5</w:t>
        </w:r>
      </w:hyperlink>
      <w:r>
        <w:rPr>
          <w:rFonts w:ascii="Times New Roman" w:hAnsi="Times New Roman" w:cs="Times New Roman"/>
          <w:color w:val="6B6B6B"/>
          <w:sz w:val="24"/>
          <w:szCs w:val="24"/>
          <w:shd w:val="clear" w:color="auto" w:fill="FFFFFF"/>
        </w:rPr>
        <w:t xml:space="preserve">, </w:t>
      </w:r>
      <w:r>
        <w:rPr>
          <w:rFonts w:ascii="Times New Roman" w:eastAsia="Times New Roman" w:hAnsi="Times New Roman" w:cs="Times New Roman"/>
          <w:color w:val="6B6B6B"/>
          <w:sz w:val="24"/>
          <w:szCs w:val="24"/>
        </w:rPr>
        <w:t>Article No.: 139, Pages 1 – 24</w:t>
      </w:r>
      <w:r>
        <w:rPr>
          <w:rFonts w:ascii="Times New Roman" w:hAnsi="Times New Roman" w:cs="Times New Roman"/>
          <w:color w:val="595959"/>
          <w:sz w:val="24"/>
          <w:szCs w:val="24"/>
        </w:rPr>
        <w:t xml:space="preserve">, </w:t>
      </w:r>
      <w:hyperlink r:id="rId27" w:history="1">
        <w:r>
          <w:rPr>
            <w:rFonts w:ascii="Times New Roman" w:eastAsia="Times New Roman" w:hAnsi="Times New Roman" w:cs="Times New Roman"/>
            <w:color w:val="0000FF"/>
            <w:sz w:val="24"/>
            <w:szCs w:val="24"/>
            <w:u w:val="single"/>
          </w:rPr>
          <w:t>https://doi.org/10.1145/3554733</w:t>
        </w:r>
      </w:hyperlink>
    </w:p>
    <w:p w:rsidR="0038571C" w:rsidRDefault="00B02913">
      <w:pPr>
        <w:pStyle w:val="ListParagraph"/>
        <w:numPr>
          <w:ilvl w:val="0"/>
          <w:numId w:val="16"/>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 Sandeep Gupta, S.V.N. Sreenivasu, Kuldeep Chouhan, Anurag Shrivastava, Bharti Sahu, Ravindra Manohar Potdar, Novel Face Mask Detection Technique using Machine Learning to control COVID’19 pandemic, Materials Today: Proceedings, Volume 80, Part 3, 2023, Pa</w:t>
      </w:r>
      <w:r>
        <w:rPr>
          <w:rFonts w:ascii="Times New Roman" w:hAnsi="Times New Roman" w:cs="Times New Roman"/>
          <w:sz w:val="24"/>
          <w:szCs w:val="24"/>
        </w:rPr>
        <w:t xml:space="preserve">ges 3714-3718, ISSN 2214-7853, </w:t>
      </w:r>
      <w:hyperlink r:id="rId28" w:history="1">
        <w:r>
          <w:rPr>
            <w:rFonts w:ascii="Times New Roman" w:hAnsi="Times New Roman" w:cs="Times New Roman"/>
            <w:color w:val="0000FF"/>
            <w:sz w:val="24"/>
            <w:szCs w:val="24"/>
            <w:u w:val="single"/>
          </w:rPr>
          <w:t>https://doi.org/10.1016/j.matpr.2021.07.368</w:t>
        </w:r>
      </w:hyperlink>
      <w:r>
        <w:rPr>
          <w:rFonts w:ascii="Times New Roman" w:hAnsi="Times New Roman" w:cs="Times New Roman"/>
          <w:sz w:val="24"/>
          <w:szCs w:val="24"/>
        </w:rPr>
        <w:t>.</w:t>
      </w:r>
    </w:p>
    <w:p w:rsidR="0038571C" w:rsidRDefault="00B02913">
      <w:pPr>
        <w:pStyle w:val="ListParagraph"/>
        <w:numPr>
          <w:ilvl w:val="0"/>
          <w:numId w:val="16"/>
        </w:numPr>
        <w:spacing w:after="0" w:line="240" w:lineRule="auto"/>
        <w:ind w:left="0" w:firstLine="0"/>
        <w:rPr>
          <w:rFonts w:ascii="Times New Roman" w:hAnsi="Times New Roman" w:cs="Times New Roman"/>
          <w:sz w:val="24"/>
          <w:szCs w:val="24"/>
        </w:rPr>
      </w:pPr>
      <w:r>
        <w:rPr>
          <w:rFonts w:ascii="Times New Roman" w:hAnsi="Times New Roman" w:cs="Times New Roman"/>
          <w:color w:val="0D0D0D" w:themeColor="text1" w:themeTint="F2"/>
          <w:sz w:val="24"/>
          <w:szCs w:val="24"/>
          <w:shd w:val="clear" w:color="auto" w:fill="FFFFFF"/>
        </w:rPr>
        <w:t>Shrivastava, A., Haripriya, D., Borole, Y.D. </w:t>
      </w:r>
      <w:r>
        <w:rPr>
          <w:rFonts w:ascii="Times New Roman" w:hAnsi="Times New Roman" w:cs="Times New Roman"/>
          <w:i/>
          <w:iCs/>
          <w:color w:val="0D0D0D" w:themeColor="text1" w:themeTint="F2"/>
          <w:sz w:val="24"/>
          <w:szCs w:val="24"/>
          <w:shd w:val="clear" w:color="auto" w:fill="FFFFFF"/>
        </w:rPr>
        <w:t>et al.</w:t>
      </w:r>
      <w:r>
        <w:rPr>
          <w:rFonts w:ascii="Times New Roman" w:hAnsi="Times New Roman" w:cs="Times New Roman"/>
          <w:color w:val="0D0D0D" w:themeColor="text1" w:themeTint="F2"/>
          <w:sz w:val="24"/>
          <w:szCs w:val="24"/>
          <w:shd w:val="clear" w:color="auto" w:fill="FFFFFF"/>
        </w:rPr>
        <w:t> High-performance FPGA based secured hardware model for IoT devices. </w:t>
      </w:r>
      <w:r>
        <w:rPr>
          <w:rFonts w:ascii="Times New Roman" w:hAnsi="Times New Roman" w:cs="Times New Roman"/>
          <w:i/>
          <w:iCs/>
          <w:color w:val="0D0D0D" w:themeColor="text1" w:themeTint="F2"/>
          <w:sz w:val="24"/>
          <w:szCs w:val="24"/>
          <w:shd w:val="clear" w:color="auto" w:fill="FFFFFF"/>
        </w:rPr>
        <w:t>Int J Syst Assur Eng Manag</w:t>
      </w:r>
      <w:r>
        <w:rPr>
          <w:rFonts w:ascii="Times New Roman" w:hAnsi="Times New Roman" w:cs="Times New Roman"/>
          <w:color w:val="0D0D0D" w:themeColor="text1" w:themeTint="F2"/>
          <w:sz w:val="24"/>
          <w:szCs w:val="24"/>
          <w:shd w:val="clear" w:color="auto" w:fill="FFFFFF"/>
        </w:rPr>
        <w:t xml:space="preserve"> 13 (Suppl 1), 736–741 (2022). </w:t>
      </w:r>
      <w:hyperlink r:id="rId29" w:history="1">
        <w:r>
          <w:rPr>
            <w:rFonts w:ascii="Times New Roman" w:hAnsi="Times New Roman" w:cs="Times New Roman"/>
            <w:color w:val="0000FF"/>
            <w:sz w:val="24"/>
            <w:szCs w:val="24"/>
            <w:u w:val="single"/>
            <w:shd w:val="clear" w:color="auto" w:fill="FFFFFF"/>
            <w14:textFill>
              <w14:solidFill>
                <w14:srgbClr w14:val="0000FF">
                  <w14:lumMod w14:val="95000"/>
                  <w14:lumOff w14:val="5000"/>
                </w14:srgbClr>
              </w14:solidFill>
            </w14:textFill>
          </w:rPr>
          <w:t>https://doi.org/10.1007/s13198-021-01605-x</w:t>
        </w:r>
      </w:hyperlink>
    </w:p>
    <w:p w:rsidR="0038571C" w:rsidRDefault="00B02913">
      <w:pPr>
        <w:pStyle w:val="ListParagraph"/>
        <w:numPr>
          <w:ilvl w:val="0"/>
          <w:numId w:val="16"/>
        </w:numPr>
        <w:spacing w:after="0" w:line="240" w:lineRule="auto"/>
        <w:ind w:left="0" w:firstLine="0"/>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 A. Banik, J. Ranga, A. Shrivastava, S. R. Kabat, A. V. G. A. Marthanda and S. Hemavathi, "Novel Energy-Efficient Hybrid Green Energy Scheme for Future Sustainability," </w:t>
      </w:r>
      <w:r>
        <w:rPr>
          <w:rFonts w:ascii="Times New Roman" w:hAnsi="Times New Roman" w:cs="Times New Roman"/>
          <w:i/>
          <w:iCs/>
          <w:color w:val="333333"/>
          <w:sz w:val="24"/>
          <w:szCs w:val="24"/>
          <w:shd w:val="clear" w:color="auto" w:fill="FFFFFF"/>
        </w:rPr>
        <w:t>2021 International Conference on Technological Advancements and Innovations (ICTAI)</w:t>
      </w:r>
      <w:r>
        <w:rPr>
          <w:rFonts w:ascii="Times New Roman" w:hAnsi="Times New Roman" w:cs="Times New Roman"/>
          <w:color w:val="333333"/>
          <w:sz w:val="24"/>
          <w:szCs w:val="24"/>
          <w:shd w:val="clear" w:color="auto" w:fill="FFFFFF"/>
        </w:rPr>
        <w:t>, Ta</w:t>
      </w:r>
      <w:r>
        <w:rPr>
          <w:rFonts w:ascii="Times New Roman" w:hAnsi="Times New Roman" w:cs="Times New Roman"/>
          <w:color w:val="333333"/>
          <w:sz w:val="24"/>
          <w:szCs w:val="24"/>
          <w:shd w:val="clear" w:color="auto" w:fill="FFFFFF"/>
        </w:rPr>
        <w:t>shkent, Uzbekistan, 2021, pp. 428-433, doi: 10.1109/ICTAI53825.2021.9673391.</w:t>
      </w:r>
    </w:p>
    <w:p w:rsidR="0038571C" w:rsidRDefault="00B02913">
      <w:pPr>
        <w:pStyle w:val="ListParagraph"/>
        <w:numPr>
          <w:ilvl w:val="0"/>
          <w:numId w:val="16"/>
        </w:numPr>
        <w:spacing w:after="0" w:line="240" w:lineRule="auto"/>
        <w:ind w:left="0" w:firstLine="0"/>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K. Chouhan, A. Singh, A. Shrivastava, S. Agrawal, B. D. Shukla and P. S. Tomar, "Structural Support Vector Machine for Speech Recognition Classification with CNN Approach," </w:t>
      </w:r>
      <w:r>
        <w:rPr>
          <w:rFonts w:ascii="Times New Roman" w:hAnsi="Times New Roman" w:cs="Times New Roman"/>
          <w:i/>
          <w:iCs/>
          <w:color w:val="333333"/>
          <w:sz w:val="24"/>
          <w:szCs w:val="24"/>
          <w:shd w:val="clear" w:color="auto" w:fill="FFFFFF"/>
        </w:rPr>
        <w:t>2021 9</w:t>
      </w:r>
      <w:r>
        <w:rPr>
          <w:rFonts w:ascii="Times New Roman" w:hAnsi="Times New Roman" w:cs="Times New Roman"/>
          <w:i/>
          <w:iCs/>
          <w:color w:val="333333"/>
          <w:sz w:val="24"/>
          <w:szCs w:val="24"/>
          <w:shd w:val="clear" w:color="auto" w:fill="FFFFFF"/>
        </w:rPr>
        <w:t>th International Conference on Cyber and IT Service Management (CITSM)</w:t>
      </w:r>
      <w:r>
        <w:rPr>
          <w:rFonts w:ascii="Times New Roman" w:hAnsi="Times New Roman" w:cs="Times New Roman"/>
          <w:color w:val="333333"/>
          <w:sz w:val="24"/>
          <w:szCs w:val="24"/>
          <w:shd w:val="clear" w:color="auto" w:fill="FFFFFF"/>
        </w:rPr>
        <w:t>, Bengkulu, Indonesia, 2021, pp. 1-7, doi: 10.1109/CITSM52892.2021.9588918.</w:t>
      </w:r>
    </w:p>
    <w:p w:rsidR="0038571C" w:rsidRDefault="00B02913">
      <w:pPr>
        <w:pStyle w:val="ListParagraph"/>
        <w:numPr>
          <w:ilvl w:val="0"/>
          <w:numId w:val="16"/>
        </w:numPr>
        <w:spacing w:after="0" w:line="240" w:lineRule="auto"/>
        <w:ind w:left="0" w:firstLine="0"/>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Pratik Gite, Anurag Shrivastava, K. Murali Krishna, G.H. Kusumadevi, R. Dilip, Ravindra Manohar Potdar, Under </w:t>
      </w:r>
      <w:r>
        <w:rPr>
          <w:rFonts w:ascii="Times New Roman" w:hAnsi="Times New Roman" w:cs="Times New Roman"/>
          <w:color w:val="0D0D0D" w:themeColor="text1" w:themeTint="F2"/>
          <w:sz w:val="24"/>
          <w:szCs w:val="24"/>
        </w:rPr>
        <w:t xml:space="preserve">water motion tracking and monitoring using wireless sensor network and Machine learning, Materials Today: Proceedings, Volume 80, Part 3, 2023, Pages 3511-3516, ISSN 2214-7853, </w:t>
      </w:r>
      <w:hyperlink r:id="rId30" w:history="1">
        <w:r>
          <w:rPr>
            <w:rFonts w:ascii="Times New Roman" w:hAnsi="Times New Roman" w:cs="Times New Roman"/>
            <w:color w:val="0000FF"/>
            <w:sz w:val="24"/>
            <w:szCs w:val="24"/>
            <w:u w:val="single"/>
            <w14:textFill>
              <w14:solidFill>
                <w14:srgbClr w14:val="0000FF">
                  <w14:lumMod w14:val="95000"/>
                  <w14:lumOff w14:val="5000"/>
                </w14:srgbClr>
              </w14:solidFill>
            </w14:textFill>
          </w:rPr>
          <w:t>https://doi.org/10.1016/j.matpr.2021.07.283</w:t>
        </w:r>
      </w:hyperlink>
      <w:r>
        <w:rPr>
          <w:rFonts w:ascii="Times New Roman" w:hAnsi="Times New Roman" w:cs="Times New Roman"/>
          <w:color w:val="0D0D0D" w:themeColor="text1" w:themeTint="F2"/>
          <w:sz w:val="24"/>
          <w:szCs w:val="24"/>
        </w:rPr>
        <w:t>.</w:t>
      </w:r>
    </w:p>
    <w:p w:rsidR="0038571C" w:rsidRDefault="00B02913">
      <w:pPr>
        <w:pStyle w:val="ListParagraph"/>
        <w:numPr>
          <w:ilvl w:val="0"/>
          <w:numId w:val="16"/>
        </w:numPr>
        <w:shd w:val="clear" w:color="auto" w:fill="FFFFFF"/>
        <w:spacing w:after="0" w:line="240" w:lineRule="auto"/>
        <w:ind w:left="0" w:firstLine="0"/>
        <w:rPr>
          <w:rFonts w:ascii="Times New Roman" w:eastAsia="Times New Roman" w:hAnsi="Times New Roman" w:cs="Times New Roman"/>
          <w:color w:val="777777"/>
          <w:sz w:val="24"/>
          <w:szCs w:val="24"/>
        </w:rPr>
      </w:pPr>
      <w:hyperlink r:id="rId31" w:history="1">
        <w:r>
          <w:rPr>
            <w:rFonts w:ascii="Times New Roman" w:eastAsia="Times New Roman" w:hAnsi="Times New Roman" w:cs="Times New Roman"/>
            <w:color w:val="0D0D0D" w:themeColor="text1" w:themeTint="F2"/>
            <w:sz w:val="24"/>
            <w:szCs w:val="24"/>
          </w:rPr>
          <w:t>A. Suresh Kumar</w:t>
        </w:r>
      </w:hyperlink>
      <w:r>
        <w:rPr>
          <w:rFonts w:ascii="Times New Roman" w:eastAsia="Times New Roman" w:hAnsi="Times New Roman" w:cs="Times New Roman"/>
          <w:color w:val="0D0D0D" w:themeColor="text1" w:themeTint="F2"/>
          <w:sz w:val="24"/>
          <w:szCs w:val="24"/>
        </w:rPr>
        <w:t>, </w:t>
      </w:r>
      <w:hyperlink r:id="rId32" w:history="1">
        <w:r>
          <w:rPr>
            <w:rFonts w:ascii="Times New Roman" w:eastAsia="Times New Roman" w:hAnsi="Times New Roman" w:cs="Times New Roman"/>
            <w:color w:val="0D0D0D" w:themeColor="text1" w:themeTint="F2"/>
            <w:sz w:val="24"/>
            <w:szCs w:val="24"/>
          </w:rPr>
          <w:t>S. Jerald Nirmal Kumar</w:t>
        </w:r>
      </w:hyperlink>
      <w:r>
        <w:rPr>
          <w:rFonts w:ascii="Times New Roman" w:eastAsia="Times New Roman" w:hAnsi="Times New Roman" w:cs="Times New Roman"/>
          <w:color w:val="0D0D0D" w:themeColor="text1" w:themeTint="F2"/>
          <w:sz w:val="24"/>
          <w:szCs w:val="24"/>
        </w:rPr>
        <w:t>, </w:t>
      </w:r>
      <w:hyperlink r:id="rId33" w:history="1">
        <w:r>
          <w:rPr>
            <w:rFonts w:ascii="Times New Roman" w:eastAsia="Times New Roman" w:hAnsi="Times New Roman" w:cs="Times New Roman"/>
            <w:color w:val="0D0D0D" w:themeColor="text1" w:themeTint="F2"/>
            <w:sz w:val="24"/>
            <w:szCs w:val="24"/>
          </w:rPr>
          <w:t>Subhash Chandra Gupta</w:t>
        </w:r>
      </w:hyperlink>
      <w:r>
        <w:rPr>
          <w:rFonts w:ascii="Times New Roman" w:eastAsia="Times New Roman" w:hAnsi="Times New Roman" w:cs="Times New Roman"/>
          <w:color w:val="0D0D0D" w:themeColor="text1" w:themeTint="F2"/>
          <w:sz w:val="24"/>
          <w:szCs w:val="24"/>
        </w:rPr>
        <w:t>, </w:t>
      </w:r>
      <w:hyperlink r:id="rId34" w:history="1">
        <w:r>
          <w:rPr>
            <w:rFonts w:ascii="Times New Roman" w:eastAsia="Times New Roman" w:hAnsi="Times New Roman" w:cs="Times New Roman"/>
            <w:color w:val="0D0D0D" w:themeColor="text1" w:themeTint="F2"/>
            <w:sz w:val="24"/>
            <w:szCs w:val="24"/>
          </w:rPr>
          <w:t>Anurag Shrivastava</w:t>
        </w:r>
      </w:hyperlink>
      <w:r>
        <w:rPr>
          <w:rFonts w:ascii="Times New Roman" w:eastAsia="Times New Roman" w:hAnsi="Times New Roman" w:cs="Times New Roman"/>
          <w:color w:val="0D0D0D" w:themeColor="text1" w:themeTint="F2"/>
          <w:sz w:val="24"/>
          <w:szCs w:val="24"/>
        </w:rPr>
        <w:t>, </w:t>
      </w:r>
      <w:hyperlink r:id="rId35" w:history="1">
        <w:r>
          <w:rPr>
            <w:rFonts w:ascii="Times New Roman" w:eastAsia="Times New Roman" w:hAnsi="Times New Roman" w:cs="Times New Roman"/>
            <w:color w:val="0D0D0D" w:themeColor="text1" w:themeTint="F2"/>
            <w:sz w:val="24"/>
            <w:szCs w:val="24"/>
          </w:rPr>
          <w:t>Keshav Kumar</w:t>
        </w:r>
      </w:hyperlink>
      <w:r>
        <w:rPr>
          <w:rFonts w:ascii="Times New Roman" w:eastAsia="Times New Roman" w:hAnsi="Times New Roman" w:cs="Times New Roman"/>
          <w:color w:val="0D0D0D" w:themeColor="text1" w:themeTint="F2"/>
          <w:sz w:val="24"/>
          <w:szCs w:val="24"/>
        </w:rPr>
        <w:t>, </w:t>
      </w:r>
      <w:hyperlink r:id="rId36" w:history="1">
        <w:r>
          <w:rPr>
            <w:rFonts w:ascii="Times New Roman" w:eastAsia="Times New Roman" w:hAnsi="Times New Roman" w:cs="Times New Roman"/>
            <w:color w:val="0D0D0D" w:themeColor="text1" w:themeTint="F2"/>
            <w:sz w:val="24"/>
            <w:szCs w:val="24"/>
          </w:rPr>
          <w:t>Rituraj Jain</w:t>
        </w:r>
      </w:hyperlink>
      <w:r>
        <w:rPr>
          <w:rFonts w:ascii="Times New Roman" w:eastAsia="Times New Roman" w:hAnsi="Times New Roman" w:cs="Times New Roman"/>
          <w:color w:val="0D0D0D" w:themeColor="text1" w:themeTint="F2"/>
          <w:sz w:val="24"/>
          <w:szCs w:val="24"/>
        </w:rPr>
        <w:t xml:space="preserve">, </w:t>
      </w:r>
      <w:r>
        <w:rPr>
          <w:rFonts w:ascii="Times New Roman" w:eastAsia="Times New Roman" w:hAnsi="Times New Roman" w:cs="Times New Roman"/>
          <w:color w:val="1C1D1E"/>
          <w:kern w:val="36"/>
          <w:sz w:val="24"/>
          <w:szCs w:val="24"/>
        </w:rPr>
        <w:t>IoT Communication for Grid-Tie Matrix Converter with Power Factor Control Using the Adaptive Fuzzy Sliding (AFS) Method</w:t>
      </w:r>
      <w:r>
        <w:rPr>
          <w:rFonts w:ascii="Times New Roman" w:eastAsia="Times New Roman" w:hAnsi="Times New Roman" w:cs="Times New Roman"/>
          <w:color w:val="0D0D0D" w:themeColor="text1" w:themeTint="F2"/>
          <w:sz w:val="24"/>
          <w:szCs w:val="24"/>
        </w:rPr>
        <w:t xml:space="preserve">, </w:t>
      </w:r>
      <w:r>
        <w:rPr>
          <w:rFonts w:ascii="Times New Roman" w:hAnsi="Times New Roman" w:cs="Times New Roman"/>
          <w:color w:val="222222"/>
          <w:sz w:val="24"/>
          <w:szCs w:val="24"/>
          <w:shd w:val="clear" w:color="auto" w:fill="FFFFFF"/>
        </w:rPr>
        <w:t>Scientific Pr</w:t>
      </w:r>
      <w:r>
        <w:rPr>
          <w:rFonts w:ascii="Times New Roman" w:hAnsi="Times New Roman" w:cs="Times New Roman"/>
          <w:color w:val="222222"/>
          <w:sz w:val="24"/>
          <w:szCs w:val="24"/>
          <w:shd w:val="clear" w:color="auto" w:fill="FFFFFF"/>
        </w:rPr>
        <w:t>ogramming,</w:t>
      </w:r>
      <w:r>
        <w:rPr>
          <w:rFonts w:ascii="Times New Roman" w:eastAsia="Times New Roman" w:hAnsi="Times New Roman" w:cs="Times New Roman"/>
          <w:color w:val="777777"/>
          <w:sz w:val="24"/>
          <w:szCs w:val="24"/>
        </w:rPr>
        <w:t xml:space="preserve"> Volume, </w:t>
      </w:r>
      <w:r>
        <w:rPr>
          <w:rFonts w:ascii="Times New Roman" w:eastAsia="Times New Roman" w:hAnsi="Times New Roman" w:cs="Times New Roman"/>
          <w:color w:val="222222"/>
          <w:sz w:val="24"/>
          <w:szCs w:val="24"/>
        </w:rPr>
        <w:t>2022</w:t>
      </w:r>
      <w:r>
        <w:rPr>
          <w:rFonts w:ascii="Times New Roman" w:eastAsia="Times New Roman" w:hAnsi="Times New Roman" w:cs="Times New Roman"/>
          <w:color w:val="777777"/>
          <w:sz w:val="24"/>
          <w:szCs w:val="24"/>
        </w:rPr>
        <w:t xml:space="preserve">, Issue 1, Pages- </w:t>
      </w:r>
      <w:r>
        <w:rPr>
          <w:rFonts w:ascii="Times New Roman" w:eastAsia="Times New Roman" w:hAnsi="Times New Roman" w:cs="Times New Roman"/>
          <w:color w:val="222222"/>
          <w:sz w:val="24"/>
          <w:szCs w:val="24"/>
        </w:rPr>
        <w:t>5649363</w:t>
      </w:r>
      <w:r>
        <w:rPr>
          <w:rFonts w:ascii="Times New Roman" w:eastAsia="Times New Roman" w:hAnsi="Times New Roman" w:cs="Times New Roman"/>
          <w:color w:val="777777"/>
          <w:sz w:val="24"/>
          <w:szCs w:val="24"/>
        </w:rPr>
        <w:t xml:space="preserve">, </w:t>
      </w:r>
      <w:r>
        <w:rPr>
          <w:rFonts w:ascii="Times New Roman" w:eastAsia="Times New Roman" w:hAnsi="Times New Roman" w:cs="Times New Roman"/>
          <w:color w:val="222222"/>
          <w:sz w:val="24"/>
          <w:szCs w:val="24"/>
        </w:rPr>
        <w:t xml:space="preserve">Hindawi, </w:t>
      </w:r>
      <w:hyperlink r:id="rId37" w:history="1">
        <w:r>
          <w:rPr>
            <w:rStyle w:val="Hyperlink"/>
            <w:rFonts w:ascii="Times New Roman" w:eastAsia="Times New Roman" w:hAnsi="Times New Roman" w:cs="Times New Roman"/>
            <w:sz w:val="24"/>
            <w:szCs w:val="24"/>
          </w:rPr>
          <w:t>https://doi.org/10.1155/2022/5649363</w:t>
        </w:r>
      </w:hyperlink>
    </w:p>
    <w:p w:rsidR="0038571C" w:rsidRDefault="00B02913">
      <w:pPr>
        <w:pStyle w:val="ListParagraph"/>
        <w:numPr>
          <w:ilvl w:val="0"/>
          <w:numId w:val="16"/>
        </w:numPr>
        <w:spacing w:after="0" w:line="240" w:lineRule="auto"/>
        <w:ind w:left="0" w:firstLine="0"/>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A. K. Singh, A. Shrivastava and G. S. Tomar, "Design and Implementation of High Performance AHB </w:t>
      </w:r>
      <w:r>
        <w:rPr>
          <w:rFonts w:ascii="Times New Roman" w:hAnsi="Times New Roman" w:cs="Times New Roman"/>
          <w:color w:val="333333"/>
          <w:sz w:val="24"/>
          <w:szCs w:val="24"/>
          <w:shd w:val="clear" w:color="auto" w:fill="FFFFFF"/>
        </w:rPr>
        <w:t>Reconfigurable Arbiter for Onchip Bus Architecture," </w:t>
      </w:r>
      <w:r>
        <w:rPr>
          <w:rFonts w:ascii="Times New Roman" w:hAnsi="Times New Roman" w:cs="Times New Roman"/>
          <w:i/>
          <w:iCs/>
          <w:color w:val="333333"/>
          <w:sz w:val="24"/>
          <w:szCs w:val="24"/>
          <w:shd w:val="clear" w:color="auto" w:fill="FFFFFF"/>
        </w:rPr>
        <w:t>2011 International Conference on Communication Systems and Network Technologies</w:t>
      </w:r>
      <w:r>
        <w:rPr>
          <w:rFonts w:ascii="Times New Roman" w:hAnsi="Times New Roman" w:cs="Times New Roman"/>
          <w:color w:val="333333"/>
          <w:sz w:val="24"/>
          <w:szCs w:val="24"/>
          <w:shd w:val="clear" w:color="auto" w:fill="FFFFFF"/>
        </w:rPr>
        <w:t>, Katra, India, 2011, pp. 455-459, doi: 10.1109/CSNT.2011.99.</w:t>
      </w:r>
    </w:p>
    <w:tbl>
      <w:tblPr>
        <w:tblW w:w="0" w:type="auto"/>
        <w:tblCellMar>
          <w:top w:w="15" w:type="dxa"/>
          <w:left w:w="15" w:type="dxa"/>
          <w:bottom w:w="15" w:type="dxa"/>
          <w:right w:w="15" w:type="dxa"/>
        </w:tblCellMar>
        <w:tblLook w:val="04A0" w:firstRow="1" w:lastRow="0" w:firstColumn="1" w:lastColumn="0" w:noHBand="0" w:noVBand="1"/>
      </w:tblPr>
      <w:tblGrid>
        <w:gridCol w:w="561"/>
        <w:gridCol w:w="8511"/>
      </w:tblGrid>
      <w:tr w:rsidR="0038571C">
        <w:tc>
          <w:tcPr>
            <w:tcW w:w="564" w:type="dxa"/>
            <w:tcMar>
              <w:top w:w="0" w:type="dxa"/>
              <w:left w:w="240" w:type="dxa"/>
              <w:bottom w:w="0" w:type="dxa"/>
              <w:right w:w="240" w:type="dxa"/>
            </w:tcMar>
          </w:tcPr>
          <w:p w:rsidR="0038571C" w:rsidRDefault="0038571C">
            <w:pPr>
              <w:spacing w:after="0" w:line="240" w:lineRule="auto"/>
              <w:rPr>
                <w:rFonts w:ascii="Times New Roman" w:eastAsia="Times New Roman" w:hAnsi="Times New Roman" w:cs="Times New Roman"/>
                <w:sz w:val="24"/>
                <w:szCs w:val="24"/>
              </w:rPr>
            </w:pPr>
          </w:p>
        </w:tc>
        <w:tc>
          <w:tcPr>
            <w:tcW w:w="8796" w:type="dxa"/>
            <w:tcMar>
              <w:top w:w="0" w:type="dxa"/>
              <w:left w:w="0" w:type="dxa"/>
              <w:bottom w:w="0" w:type="dxa"/>
              <w:right w:w="0" w:type="dxa"/>
            </w:tcMar>
            <w:vAlign w:val="center"/>
          </w:tcPr>
          <w:p w:rsidR="0038571C" w:rsidRDefault="0038571C">
            <w:pPr>
              <w:shd w:val="clear" w:color="auto" w:fill="FFFFFF"/>
              <w:spacing w:after="0" w:line="240" w:lineRule="auto"/>
              <w:rPr>
                <w:rFonts w:ascii="Times New Roman" w:eastAsia="Times New Roman" w:hAnsi="Times New Roman" w:cs="Times New Roman"/>
                <w:color w:val="222222"/>
                <w:sz w:val="24"/>
                <w:szCs w:val="24"/>
              </w:rPr>
            </w:pPr>
          </w:p>
        </w:tc>
      </w:tr>
    </w:tbl>
    <w:p w:rsidR="0038571C" w:rsidRDefault="00B02913">
      <w:pPr>
        <w:pStyle w:val="ListParagraph"/>
        <w:numPr>
          <w:ilvl w:val="0"/>
          <w:numId w:val="16"/>
        </w:numPr>
        <w:spacing w:after="0" w:line="240" w:lineRule="auto"/>
        <w:ind w:left="0" w:firstLine="0"/>
        <w:rPr>
          <w:rFonts w:ascii="Times New Roman" w:hAnsi="Times New Roman" w:cs="Times New Roman"/>
          <w:sz w:val="24"/>
          <w:szCs w:val="24"/>
        </w:rPr>
      </w:pPr>
      <w:r>
        <w:rPr>
          <w:rFonts w:ascii="Times New Roman" w:hAnsi="Times New Roman" w:cs="Times New Roman"/>
          <w:color w:val="333333"/>
          <w:sz w:val="24"/>
          <w:szCs w:val="24"/>
          <w:shd w:val="clear" w:color="auto" w:fill="FFFFFF"/>
        </w:rPr>
        <w:t xml:space="preserve">P. Gautam, "Game-Hypothetical Methodology for Continuous </w:t>
      </w:r>
      <w:r>
        <w:rPr>
          <w:rFonts w:ascii="Times New Roman" w:hAnsi="Times New Roman" w:cs="Times New Roman"/>
          <w:color w:val="333333"/>
          <w:sz w:val="24"/>
          <w:szCs w:val="24"/>
          <w:shd w:val="clear" w:color="auto" w:fill="FFFFFF"/>
        </w:rPr>
        <w:t>Undertaking Planning in Distributed computing Conditions," </w:t>
      </w:r>
      <w:r>
        <w:rPr>
          <w:rStyle w:val="Emphasis"/>
          <w:rFonts w:ascii="Times New Roman" w:hAnsi="Times New Roman" w:cs="Times New Roman"/>
          <w:color w:val="333333"/>
          <w:sz w:val="24"/>
          <w:szCs w:val="24"/>
          <w:shd w:val="clear" w:color="auto" w:fill="FFFFFF"/>
        </w:rPr>
        <w:t>2024 International Conference on Computer Communication, Networks and Information Science (CCNIS)</w:t>
      </w:r>
      <w:r>
        <w:rPr>
          <w:rFonts w:ascii="Times New Roman" w:hAnsi="Times New Roman" w:cs="Times New Roman"/>
          <w:color w:val="333333"/>
          <w:sz w:val="24"/>
          <w:szCs w:val="24"/>
          <w:shd w:val="clear" w:color="auto" w:fill="FFFFFF"/>
        </w:rPr>
        <w:t>, Singapore, Singapore, 2024, pp. 92-97, doi: 10.1109/CCNIS64984.2024.00018.</w:t>
      </w:r>
    </w:p>
    <w:p w:rsidR="0038571C" w:rsidRDefault="00B02913">
      <w:pPr>
        <w:pStyle w:val="ListParagraph"/>
        <w:numPr>
          <w:ilvl w:val="0"/>
          <w:numId w:val="16"/>
        </w:numPr>
        <w:spacing w:after="0" w:line="240" w:lineRule="auto"/>
        <w:ind w:left="0" w:firstLine="0"/>
        <w:rPr>
          <w:rFonts w:ascii="Times New Roman" w:hAnsi="Times New Roman" w:cs="Times New Roman"/>
          <w:sz w:val="24"/>
          <w:szCs w:val="24"/>
        </w:rPr>
      </w:pPr>
      <w:r>
        <w:rPr>
          <w:rFonts w:ascii="Times New Roman" w:hAnsi="Times New Roman" w:cs="Times New Roman"/>
          <w:color w:val="222222"/>
          <w:sz w:val="24"/>
          <w:szCs w:val="24"/>
          <w:shd w:val="clear" w:color="auto" w:fill="FFFFFF"/>
        </w:rPr>
        <w:t>P. Gautam, "Cost-Effici</w:t>
      </w:r>
      <w:r>
        <w:rPr>
          <w:rFonts w:ascii="Times New Roman" w:hAnsi="Times New Roman" w:cs="Times New Roman"/>
          <w:color w:val="222222"/>
          <w:sz w:val="24"/>
          <w:szCs w:val="24"/>
          <w:shd w:val="clear" w:color="auto" w:fill="FFFFFF"/>
        </w:rPr>
        <w:t xml:space="preserve">ent Hierarchical Caching for Cloudbased Key-Value Stores," 2024 International Conference on Computer Communication, Networks and Information Science (CCNIS), Singapore, Singapore, 2024, pp. 165-178, doi: 10.1109/CCNIS64984.2024.00019. </w:t>
      </w:r>
    </w:p>
    <w:p w:rsidR="0038571C" w:rsidRDefault="00B02913">
      <w:pPr>
        <w:pStyle w:val="ListParagraph"/>
        <w:numPr>
          <w:ilvl w:val="0"/>
          <w:numId w:val="16"/>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Dr Archana salve, Ar</w:t>
      </w:r>
      <w:r>
        <w:rPr>
          <w:rFonts w:ascii="Times New Roman" w:hAnsi="Times New Roman" w:cs="Times New Roman"/>
          <w:sz w:val="24"/>
          <w:szCs w:val="24"/>
        </w:rPr>
        <w:t>tificial Intelligence and Machine Learning-Based Systems for Controlling Medical Robot Beds for Preventing Bedsores, Proceedings of 5th International Conference, IC3I 2022, Proceedings of 5th International Conference/Page no:  2105-2109                  10</w:t>
      </w:r>
      <w:r>
        <w:rPr>
          <w:rFonts w:ascii="Times New Roman" w:hAnsi="Times New Roman" w:cs="Times New Roman"/>
          <w:sz w:val="24"/>
          <w:szCs w:val="24"/>
        </w:rPr>
        <w:t xml:space="preserve">.1109/IC3I56241.2022.10073403 March 2022                       </w:t>
      </w:r>
    </w:p>
    <w:p w:rsidR="0038571C" w:rsidRDefault="00B02913">
      <w:pPr>
        <w:pStyle w:val="ListParagraph"/>
        <w:numPr>
          <w:ilvl w:val="0"/>
          <w:numId w:val="16"/>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Dr Archana Salve, A Comparative Study of Developing Managerial Skills through Management Education among Management Graduates from Selected Institutes (Conference Paper) Journal of Electrochem</w:t>
      </w:r>
      <w:r>
        <w:rPr>
          <w:rFonts w:ascii="Times New Roman" w:hAnsi="Times New Roman" w:cs="Times New Roman"/>
          <w:sz w:val="24"/>
          <w:szCs w:val="24"/>
        </w:rPr>
        <w:t xml:space="preserve">ical Society, Electrochemical Society Transactions Volume 107/ Issue 1/Page no :3027-3034/ April 2022                       </w:t>
      </w:r>
    </w:p>
    <w:p w:rsidR="0038571C" w:rsidRDefault="00B02913">
      <w:pPr>
        <w:pStyle w:val="ListParagraph"/>
        <w:numPr>
          <w:ilvl w:val="0"/>
          <w:numId w:val="16"/>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lastRenderedPageBreak/>
        <w:t>Dr. Archana salve, Enhancing Employability in India: Unraveling the Transformative Journal: Madhya Pradesh Journal of Social Scienc</w:t>
      </w:r>
      <w:r>
        <w:rPr>
          <w:rFonts w:ascii="Times New Roman" w:hAnsi="Times New Roman" w:cs="Times New Roman"/>
          <w:sz w:val="24"/>
          <w:szCs w:val="24"/>
        </w:rPr>
        <w:t xml:space="preserve">es, Volume 28/ Issue No 2 (iii)/Page no 18-27 /ISSN  0973-855X. July 2023 </w:t>
      </w:r>
    </w:p>
    <w:p w:rsidR="0038571C" w:rsidRDefault="00B02913">
      <w:pPr>
        <w:pStyle w:val="ListParagraph"/>
        <w:numPr>
          <w:ilvl w:val="0"/>
          <w:numId w:val="16"/>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R. Sathya; V.C. Bharathi; S. Ananthi; T. Vijayakumar; Rvs Praveen; Dhivya Ramasamy, Real Time Prediction of Diabetes by using Artificial Intelligence,</w:t>
      </w:r>
      <w:r>
        <w:rPr>
          <w:rFonts w:ascii="Times New Roman" w:hAnsi="Times New Roman" w:cs="Times New Roman"/>
          <w:b/>
          <w:bCs/>
          <w:sz w:val="24"/>
          <w:szCs w:val="24"/>
        </w:rPr>
        <w:t xml:space="preserve"> </w:t>
      </w:r>
      <w:r>
        <w:rPr>
          <w:rFonts w:ascii="Times New Roman" w:hAnsi="Times New Roman" w:cs="Times New Roman"/>
          <w:sz w:val="24"/>
          <w:szCs w:val="24"/>
        </w:rPr>
        <w:t>2024 2nd International Confere</w:t>
      </w:r>
      <w:r>
        <w:rPr>
          <w:rFonts w:ascii="Times New Roman" w:hAnsi="Times New Roman" w:cs="Times New Roman"/>
          <w:sz w:val="24"/>
          <w:szCs w:val="24"/>
        </w:rPr>
        <w:t>nce on Self Sustainable Artificial Intelligence Systems (ICSSAS), DOI: 10.1109/ICSSAS64001.2024.10760985</w:t>
      </w:r>
    </w:p>
    <w:p w:rsidR="0038571C" w:rsidRDefault="00B02913">
      <w:pPr>
        <w:pStyle w:val="ListParagraph"/>
        <w:numPr>
          <w:ilvl w:val="0"/>
          <w:numId w:val="16"/>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Rvs Praveen; B </w:t>
      </w:r>
      <w:proofErr w:type="gramStart"/>
      <w:r>
        <w:rPr>
          <w:rFonts w:ascii="Times New Roman" w:hAnsi="Times New Roman" w:cs="Times New Roman"/>
          <w:sz w:val="24"/>
          <w:szCs w:val="24"/>
        </w:rPr>
        <w:t>Vinoth;S.</w:t>
      </w:r>
      <w:proofErr w:type="gramEnd"/>
      <w:r>
        <w:rPr>
          <w:rFonts w:ascii="Times New Roman" w:hAnsi="Times New Roman" w:cs="Times New Roman"/>
          <w:sz w:val="24"/>
          <w:szCs w:val="24"/>
        </w:rPr>
        <w:t xml:space="preserve"> Sowmiya;K. Tharageswari;Purushothapatnapu Naga Venkata VamsiLala;R. Sathya, “Air Pollution Monitoring System using Machine Lea</w:t>
      </w:r>
      <w:r>
        <w:rPr>
          <w:rFonts w:ascii="Times New Roman" w:hAnsi="Times New Roman" w:cs="Times New Roman"/>
          <w:sz w:val="24"/>
          <w:szCs w:val="24"/>
        </w:rPr>
        <w:t>rning techniques for Smart cities,” 2024 2nd International Conference on Self Sustainable Artificial Intelligence Systems (ICSSAS), DOI: 10.1109/ICSSAS64001.2024.10760948</w:t>
      </w:r>
    </w:p>
    <w:p w:rsidR="0038571C" w:rsidRDefault="00B02913">
      <w:pPr>
        <w:pStyle w:val="ListParagraph"/>
        <w:numPr>
          <w:ilvl w:val="0"/>
          <w:numId w:val="16"/>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RVS </w:t>
      </w:r>
      <w:proofErr w:type="gramStart"/>
      <w:r>
        <w:rPr>
          <w:rFonts w:ascii="Times New Roman" w:hAnsi="Times New Roman" w:cs="Times New Roman"/>
          <w:sz w:val="24"/>
          <w:szCs w:val="24"/>
        </w:rPr>
        <w:t>Praveen;U</w:t>
      </w:r>
      <w:proofErr w:type="gramEnd"/>
      <w:r>
        <w:rPr>
          <w:rFonts w:ascii="Times New Roman" w:hAnsi="Times New Roman" w:cs="Times New Roman"/>
          <w:sz w:val="24"/>
          <w:szCs w:val="24"/>
        </w:rPr>
        <w:t xml:space="preserve"> Hemavathi;R. Sathya;A. Abubakkar Siddiq;M. Gokul Sanjay;S. Gowdish, “AI</w:t>
      </w:r>
      <w:r>
        <w:rPr>
          <w:rFonts w:ascii="Times New Roman" w:hAnsi="Times New Roman" w:cs="Times New Roman"/>
          <w:sz w:val="24"/>
          <w:szCs w:val="24"/>
        </w:rPr>
        <w:t xml:space="preserve"> Powered Plant Identification and Plant Disease Classification System,” 2024 4th International Conference on Sustainable Expert Systems (ICSES), DOI: 10.1109/ICSES63445.2024.10763167</w:t>
      </w:r>
    </w:p>
    <w:p w:rsidR="0038571C" w:rsidRDefault="00B02913">
      <w:pPr>
        <w:pStyle w:val="ListParagraph"/>
        <w:numPr>
          <w:ilvl w:val="0"/>
          <w:numId w:val="16"/>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Neeraj Kumar; Sanjay Laxmanrao </w:t>
      </w:r>
      <w:proofErr w:type="gramStart"/>
      <w:r>
        <w:rPr>
          <w:rFonts w:ascii="Times New Roman" w:hAnsi="Times New Roman" w:cs="Times New Roman"/>
          <w:sz w:val="24"/>
          <w:szCs w:val="24"/>
        </w:rPr>
        <w:t>Kurkute;V.</w:t>
      </w:r>
      <w:proofErr w:type="gramEnd"/>
      <w:r>
        <w:rPr>
          <w:rFonts w:ascii="Times New Roman" w:hAnsi="Times New Roman" w:cs="Times New Roman"/>
          <w:sz w:val="24"/>
          <w:szCs w:val="24"/>
        </w:rPr>
        <w:t xml:space="preserve"> Kalpana;Anand Karuppannan;RVS P</w:t>
      </w:r>
      <w:r>
        <w:rPr>
          <w:rFonts w:ascii="Times New Roman" w:hAnsi="Times New Roman" w:cs="Times New Roman"/>
          <w:sz w:val="24"/>
          <w:szCs w:val="24"/>
        </w:rPr>
        <w:t>raveen;Soumya Mishra, “Modelling and Evaluation of Li-ion Battery Performance Based on the Electric Vehicle Tiled Tests using Kalman Filter-GBDT Approach” 2024 International Conference on Intelligent Algorithms for Computational Intelligence Systems (IACIS</w:t>
      </w:r>
      <w:r>
        <w:rPr>
          <w:rFonts w:ascii="Times New Roman" w:hAnsi="Times New Roman" w:cs="Times New Roman"/>
          <w:sz w:val="24"/>
          <w:szCs w:val="24"/>
        </w:rPr>
        <w:t>), DOI: 10.1109/IACIS61494.2024.10721979</w:t>
      </w:r>
    </w:p>
    <w:p w:rsidR="0038571C" w:rsidRDefault="00B02913">
      <w:pPr>
        <w:pStyle w:val="ListParagraph"/>
        <w:numPr>
          <w:ilvl w:val="0"/>
          <w:numId w:val="16"/>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Renganathan, B., Rao, S.K., Ganesan, A.R., Deepak, A., High proficient sensing response in clad modified ceria doped tin oxide fiber optic toxic gas sensor application (2021) Sensors and Actuators A: Physical, 332, </w:t>
      </w:r>
      <w:r>
        <w:rPr>
          <w:rFonts w:ascii="Times New Roman" w:hAnsi="Times New Roman" w:cs="Times New Roman"/>
          <w:sz w:val="24"/>
          <w:szCs w:val="24"/>
        </w:rPr>
        <w:t>art. no. 113114,</w:t>
      </w:r>
    </w:p>
    <w:p w:rsidR="0038571C" w:rsidRDefault="00B02913">
      <w:pPr>
        <w:pStyle w:val="ListParagraph"/>
        <w:numPr>
          <w:ilvl w:val="0"/>
          <w:numId w:val="16"/>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Renganathan, B., Rao, S.K., Kamath, M.S., Deepak, A., Ganesan, A.R. Sensing performance optimization by refining the temperature and humidity of clad engraved optical fiber sensor in glucose solution concentration (2023) Measurement: Journ</w:t>
      </w:r>
      <w:r>
        <w:rPr>
          <w:rFonts w:ascii="Times New Roman" w:hAnsi="Times New Roman" w:cs="Times New Roman"/>
          <w:sz w:val="24"/>
          <w:szCs w:val="24"/>
        </w:rPr>
        <w:t>al of the International Measurement Confederation, 207, art. no. 112341</w:t>
      </w:r>
    </w:p>
    <w:p w:rsidR="0038571C" w:rsidRDefault="00B02913">
      <w:pPr>
        <w:pStyle w:val="ListParagraph"/>
        <w:numPr>
          <w:ilvl w:val="0"/>
          <w:numId w:val="16"/>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Pramanik, S., Singh, A., Abualsoud, B.M., Deepak, A., Nainwal, P., Sargsyan, A.S., Bellucci, S. From algae to advancements: laminarin in biomedicine (2024) RSC Advances, 14 (5), pp. 32</w:t>
      </w:r>
      <w:r>
        <w:rPr>
          <w:rFonts w:ascii="Times New Roman" w:hAnsi="Times New Roman" w:cs="Times New Roman"/>
          <w:sz w:val="24"/>
          <w:szCs w:val="24"/>
        </w:rPr>
        <w:t xml:space="preserve">09-3231. </w:t>
      </w:r>
    </w:p>
    <w:p w:rsidR="0038571C" w:rsidRDefault="00B02913">
      <w:pPr>
        <w:pStyle w:val="ListParagraph"/>
        <w:numPr>
          <w:ilvl w:val="0"/>
          <w:numId w:val="16"/>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Pramanik, S., Aggarwal, A., Kadi, A., Alhomrani, M., Alamri, A.S., Alsanie, W.F., Koul, K., Deepak, A., Bellucci, </w:t>
      </w:r>
      <w:proofErr w:type="gramStart"/>
      <w:r>
        <w:rPr>
          <w:rFonts w:ascii="Times New Roman" w:hAnsi="Times New Roman" w:cs="Times New Roman"/>
          <w:sz w:val="24"/>
          <w:szCs w:val="24"/>
        </w:rPr>
        <w:t>S.Chitosan</w:t>
      </w:r>
      <w:proofErr w:type="gramEnd"/>
      <w:r>
        <w:rPr>
          <w:rFonts w:ascii="Times New Roman" w:hAnsi="Times New Roman" w:cs="Times New Roman"/>
          <w:sz w:val="24"/>
          <w:szCs w:val="24"/>
        </w:rPr>
        <w:t xml:space="preserve"> alchemy: transforming tissue engineering and wound healing</w:t>
      </w:r>
    </w:p>
    <w:p w:rsidR="0038571C" w:rsidRDefault="00B02913">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(2024) RSC Advances, 14 (27), pp. 19219-19256.</w:t>
      </w:r>
    </w:p>
    <w:p w:rsidR="0038571C" w:rsidRDefault="0038571C">
      <w:pPr>
        <w:pStyle w:val="ListParagraph"/>
        <w:spacing w:after="0" w:line="240" w:lineRule="auto"/>
        <w:ind w:left="0"/>
        <w:rPr>
          <w:rFonts w:ascii="Times New Roman" w:hAnsi="Times New Roman" w:cs="Times New Roman"/>
          <w:sz w:val="24"/>
          <w:szCs w:val="24"/>
        </w:rPr>
      </w:pPr>
    </w:p>
    <w:p w:rsidR="0038571C" w:rsidRDefault="00B02913">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                  </w:t>
      </w:r>
    </w:p>
    <w:p w:rsidR="0038571C" w:rsidRDefault="0038571C">
      <w:pPr>
        <w:spacing w:after="0" w:line="240" w:lineRule="auto"/>
        <w:rPr>
          <w:rFonts w:ascii="Times New Roman" w:hAnsi="Times New Roman" w:cs="Times New Roman"/>
          <w:sz w:val="24"/>
          <w:szCs w:val="24"/>
        </w:rPr>
      </w:pPr>
    </w:p>
    <w:p w:rsidR="0038571C" w:rsidRDefault="0038571C">
      <w:pPr>
        <w:pStyle w:val="ListParagraph"/>
        <w:shd w:val="clear" w:color="auto" w:fill="FFFFFF"/>
        <w:spacing w:after="0" w:line="240" w:lineRule="auto"/>
        <w:ind w:left="0"/>
        <w:rPr>
          <w:rFonts w:ascii="Times New Roman" w:eastAsia="Times New Roman" w:hAnsi="Times New Roman" w:cs="Times New Roman"/>
          <w:color w:val="222222"/>
          <w:sz w:val="24"/>
          <w:szCs w:val="24"/>
        </w:rPr>
      </w:pPr>
    </w:p>
    <w:p w:rsidR="0038571C" w:rsidRDefault="0038571C">
      <w:pPr>
        <w:spacing w:after="0" w:line="240" w:lineRule="auto"/>
        <w:rPr>
          <w:rFonts w:ascii="Times New Roman" w:hAnsi="Times New Roman" w:cs="Times New Roman"/>
          <w:sz w:val="24"/>
          <w:szCs w:val="24"/>
        </w:rPr>
      </w:pPr>
    </w:p>
    <w:p w:rsidR="0038571C" w:rsidRDefault="0038571C">
      <w:pPr>
        <w:spacing w:after="0" w:line="240" w:lineRule="auto"/>
        <w:jc w:val="both"/>
        <w:rPr>
          <w:rFonts w:ascii="Times New Roman" w:hAnsi="Times New Roman" w:cs="Times New Roman"/>
          <w:sz w:val="24"/>
          <w:szCs w:val="24"/>
        </w:rPr>
      </w:pPr>
    </w:p>
    <w:p w:rsidR="0038571C" w:rsidRDefault="0038571C">
      <w:pPr>
        <w:spacing w:after="0" w:line="240" w:lineRule="auto"/>
        <w:jc w:val="both"/>
        <w:rPr>
          <w:rFonts w:ascii="Times New Roman" w:hAnsi="Times New Roman" w:cs="Times New Roman"/>
          <w:sz w:val="24"/>
          <w:szCs w:val="24"/>
        </w:rPr>
      </w:pPr>
    </w:p>
    <w:p w:rsidR="0038571C" w:rsidRDefault="0038571C">
      <w:pPr>
        <w:spacing w:after="0" w:line="240" w:lineRule="auto"/>
        <w:jc w:val="both"/>
        <w:rPr>
          <w:rFonts w:ascii="Times New Roman" w:hAnsi="Times New Roman" w:cs="Times New Roman"/>
          <w:sz w:val="24"/>
          <w:szCs w:val="24"/>
        </w:rPr>
      </w:pPr>
    </w:p>
    <w:sectPr w:rsidR="0038571C" w:rsidSect="00B93655">
      <w:headerReference w:type="even" r:id="rId38"/>
      <w:headerReference w:type="default" r:id="rId39"/>
      <w:footerReference w:type="even" r:id="rId40"/>
      <w:footerReference w:type="default" r:id="rId41"/>
      <w:headerReference w:type="first" r:id="rId42"/>
      <w:footerReference w:type="first" r:id="rId43"/>
      <w:pgSz w:w="11906" w:h="16838"/>
      <w:pgMar w:top="1984" w:right="1417" w:bottom="1417" w:left="1417" w:header="720" w:footer="720" w:gutter="0"/>
      <w:pgNumType w:start="193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2913" w:rsidRDefault="00B02913">
      <w:pPr>
        <w:spacing w:line="240" w:lineRule="auto"/>
      </w:pPr>
      <w:r>
        <w:separator/>
      </w:r>
    </w:p>
  </w:endnote>
  <w:endnote w:type="continuationSeparator" w:id="0">
    <w:p w:rsidR="00B02913" w:rsidRDefault="00B029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SimSun"/>
    <w:charset w:val="00"/>
    <w:family w:val="auto"/>
    <w:pitch w:val="default"/>
  </w:font>
  <w:font w:name="Aptos Display">
    <w:altName w:val="Segoe Print"/>
    <w:charset w:val="00"/>
    <w:family w:val="swiss"/>
    <w:pitch w:val="default"/>
    <w:sig w:usb0="00000000" w:usb1="00000000"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655" w:rsidRDefault="00B936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571C" w:rsidRDefault="00B02913">
    <w:pPr>
      <w:pStyle w:val="Footer"/>
    </w:pPr>
    <w:bookmarkStart w:id="0" w:name="_GoBack"/>
    <w:bookmarkEnd w:id="0"/>
    <w:r>
      <w:rPr>
        <w:noProof/>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38571C" w:rsidRDefault="00B02913">
                          <w:pPr>
                            <w:pStyle w:val="Footer"/>
                          </w:pPr>
                          <w:r>
                            <w:rPr>
                              <w:rFonts w:ascii="Calibri" w:hAnsi="Calibri" w:cs="Calibri"/>
                              <w:sz w:val="21"/>
                              <w:szCs w:val="21"/>
                            </w:rPr>
                            <w:fldChar w:fldCharType="begin"/>
                          </w:r>
                          <w:r>
                            <w:rPr>
                              <w:rFonts w:ascii="Calibri" w:hAnsi="Calibri" w:cs="Calibri"/>
                              <w:sz w:val="21"/>
                              <w:szCs w:val="21"/>
                            </w:rPr>
                            <w:instrText xml:space="preserve"> PAGE  \* MERGEFORMAT </w:instrText>
                          </w:r>
                          <w:r>
                            <w:rPr>
                              <w:rFonts w:ascii="Calibri" w:hAnsi="Calibri" w:cs="Calibri"/>
                              <w:sz w:val="21"/>
                              <w:szCs w:val="21"/>
                            </w:rPr>
                            <w:fldChar w:fldCharType="separate"/>
                          </w:r>
                          <w:r>
                            <w:rPr>
                              <w:rFonts w:ascii="Calibri" w:hAnsi="Calibri" w:cs="Calibri"/>
                              <w:sz w:val="21"/>
                              <w:szCs w:val="21"/>
                            </w:rPr>
                            <w:t>1</w:t>
                          </w:r>
                          <w:r>
                            <w:rPr>
                              <w:rFonts w:ascii="Calibri" w:hAnsi="Calibri" w:cs="Calibri"/>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" filled="f" fillcolor="white [3201]" stroked="f" strokeweight=".5pt">
              <v:textbox style="mso-fit-shape-to-text:t" inset="0,0,0,0">
                <w:txbxContent>
                  <w:p w:rsidR="0038571C" w:rsidRDefault="00B02913">
                    <w:pPr>
                      <w:pStyle w:val="Footer"/>
                    </w:pPr>
                    <w:r>
                      <w:rPr>
                        <w:rFonts w:ascii="Calibri" w:hAnsi="Calibri" w:cs="Calibri"/>
                        <w:sz w:val="21"/>
                        <w:szCs w:val="21"/>
                      </w:rPr>
                      <w:fldChar w:fldCharType="begin"/>
                    </w:r>
                    <w:r>
                      <w:rPr>
                        <w:rFonts w:ascii="Calibri" w:hAnsi="Calibri" w:cs="Calibri"/>
                        <w:sz w:val="21"/>
                        <w:szCs w:val="21"/>
                      </w:rPr>
                      <w:instrText xml:space="preserve"> PAGE  \* MERGEFORMAT </w:instrText>
                    </w:r>
                    <w:r>
                      <w:rPr>
                        <w:rFonts w:ascii="Calibri" w:hAnsi="Calibri" w:cs="Calibri"/>
                        <w:sz w:val="21"/>
                        <w:szCs w:val="21"/>
                      </w:rPr>
                      <w:fldChar w:fldCharType="separate"/>
                    </w:r>
                    <w:r>
                      <w:rPr>
                        <w:rFonts w:ascii="Calibri" w:hAnsi="Calibri" w:cs="Calibri"/>
                        <w:sz w:val="21"/>
                        <w:szCs w:val="21"/>
                      </w:rPr>
                      <w:t>1</w:t>
                    </w:r>
                    <w:r>
                      <w:rPr>
                        <w:rFonts w:ascii="Calibri" w:hAnsi="Calibri" w:cs="Calibri"/>
                        <w:sz w:val="21"/>
                        <w:szCs w:val="21"/>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655" w:rsidRDefault="00B936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2913" w:rsidRDefault="00B02913">
      <w:pPr>
        <w:spacing w:after="0"/>
      </w:pPr>
      <w:r>
        <w:separator/>
      </w:r>
    </w:p>
  </w:footnote>
  <w:footnote w:type="continuationSeparator" w:id="0">
    <w:p w:rsidR="00B02913" w:rsidRDefault="00B0291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655" w:rsidRDefault="00B936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571C" w:rsidRDefault="00B02913">
    <w:pPr>
      <w:pStyle w:val="Header"/>
    </w:pPr>
    <w:r>
      <w:rPr>
        <w:noProof/>
        <w:lang w:val="en-US"/>
      </w:rPr>
      <mc:AlternateContent>
        <mc:Choice Requires="wps">
          <w:drawing>
            <wp:anchor distT="45720" distB="45720" distL="114300" distR="114300" simplePos="0" relativeHeight="251659264" behindDoc="0" locked="0" layoutInCell="1" allowOverlap="1">
              <wp:simplePos x="0" y="0"/>
              <wp:positionH relativeFrom="column">
                <wp:posOffset>-66675</wp:posOffset>
              </wp:positionH>
              <wp:positionV relativeFrom="paragraph">
                <wp:posOffset>-68580</wp:posOffset>
              </wp:positionV>
              <wp:extent cx="2609850" cy="986790"/>
              <wp:effectExtent l="0" t="0" r="2540" b="6350"/>
              <wp:wrapThrough wrapText="bothSides">
                <wp:wrapPolygon edited="0">
                  <wp:start x="0" y="0"/>
                  <wp:lineTo x="0" y="21261"/>
                  <wp:lineTo x="21353" y="21261"/>
                  <wp:lineTo x="21353" y="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986790"/>
                      </a:xfrm>
                      <a:prstGeom prst="rect">
                        <a:avLst/>
                      </a:prstGeom>
                      <a:solidFill>
                        <a:srgbClr val="FFFFFF"/>
                      </a:solidFill>
                      <a:ln w="9525">
                        <a:noFill/>
                        <a:miter lim="800000"/>
                      </a:ln>
                    </wps:spPr>
                    <wps:txbx>
                      <w:txbxContent>
                        <w:p w:rsidR="0038571C" w:rsidRDefault="00B02913">
                          <w:pPr>
                            <w:pStyle w:val="Header"/>
                            <w:tabs>
                              <w:tab w:val="clear" w:pos="4153"/>
                              <w:tab w:val="clear" w:pos="8306"/>
                              <w:tab w:val="center" w:pos="4680"/>
                              <w:tab w:val="right" w:pos="9360"/>
                            </w:tabs>
                            <w:spacing w:after="0" w:line="240" w:lineRule="auto"/>
                            <w:rPr>
                              <w:rFonts w:ascii="Calibri" w:hAnsi="Calibri" w:cs="Calibri"/>
                              <w:sz w:val="21"/>
                              <w:szCs w:val="21"/>
                            </w:rPr>
                          </w:pPr>
                          <w:r>
                            <w:rPr>
                              <w:rFonts w:ascii="Calibri" w:hAnsi="Calibri" w:cs="Calibri"/>
                              <w:sz w:val="21"/>
                              <w:szCs w:val="21"/>
                            </w:rPr>
                            <w:t>European Economic Letters</w:t>
                          </w:r>
                        </w:p>
                        <w:p w:rsidR="0038571C" w:rsidRDefault="00B02913">
                          <w:pPr>
                            <w:spacing w:after="0" w:line="240" w:lineRule="auto"/>
                            <w:rPr>
                              <w:rFonts w:ascii="Calibri" w:hAnsi="Calibri" w:cs="Calibri"/>
                              <w:sz w:val="21"/>
                              <w:szCs w:val="21"/>
                            </w:rPr>
                          </w:pPr>
                          <w:r>
                            <w:rPr>
                              <w:rFonts w:ascii="Calibri" w:hAnsi="Calibri" w:cs="Calibri"/>
                              <w:sz w:val="21"/>
                              <w:szCs w:val="21"/>
                            </w:rPr>
                            <w:t>ISSN 2323-5233</w:t>
                          </w:r>
                          <w:r>
                            <w:rPr>
                              <w:rFonts w:ascii="Calibri" w:hAnsi="Calibri" w:cs="Calibri"/>
                              <w:sz w:val="21"/>
                              <w:szCs w:val="21"/>
                            </w:rPr>
                            <w:br/>
                            <w:t>Vol 1</w:t>
                          </w:r>
                          <w:r>
                            <w:rPr>
                              <w:rFonts w:ascii="Calibri" w:hAnsi="Calibri" w:cs="Calibri"/>
                              <w:sz w:val="21"/>
                              <w:szCs w:val="21"/>
                              <w:lang w:val="en-US"/>
                            </w:rPr>
                            <w:t>5</w:t>
                          </w:r>
                          <w:r>
                            <w:rPr>
                              <w:rFonts w:ascii="Calibri" w:hAnsi="Calibri" w:cs="Calibri"/>
                              <w:sz w:val="21"/>
                              <w:szCs w:val="21"/>
                            </w:rPr>
                            <w:t xml:space="preserve">, Issue </w:t>
                          </w:r>
                          <w:r>
                            <w:rPr>
                              <w:rFonts w:ascii="Calibri" w:hAnsi="Calibri" w:cs="Calibri"/>
                              <w:sz w:val="21"/>
                              <w:szCs w:val="21"/>
                              <w:lang w:val="en-GB"/>
                            </w:rPr>
                            <w:t>2</w:t>
                          </w:r>
                          <w:r>
                            <w:rPr>
                              <w:rFonts w:ascii="Calibri" w:hAnsi="Calibri" w:cs="Calibri"/>
                              <w:sz w:val="21"/>
                              <w:szCs w:val="21"/>
                            </w:rPr>
                            <w:t xml:space="preserve"> (202</w:t>
                          </w:r>
                          <w:r>
                            <w:rPr>
                              <w:rFonts w:ascii="Calibri" w:hAnsi="Calibri" w:cs="Calibri"/>
                              <w:sz w:val="21"/>
                              <w:szCs w:val="21"/>
                              <w:lang w:val="en-US"/>
                            </w:rPr>
                            <w:t>5</w:t>
                          </w:r>
                          <w:r>
                            <w:rPr>
                              <w:rFonts w:ascii="Calibri" w:hAnsi="Calibri" w:cs="Calibri"/>
                              <w:sz w:val="21"/>
                              <w:szCs w:val="21"/>
                            </w:rPr>
                            <w:t>)</w:t>
                          </w:r>
                        </w:p>
                        <w:p w:rsidR="0038571C" w:rsidRDefault="00B02913">
                          <w:pPr>
                            <w:spacing w:after="0" w:line="240" w:lineRule="auto"/>
                            <w:rPr>
                              <w:rFonts w:ascii="Calibri" w:hAnsi="Calibri" w:cs="Calibri"/>
                              <w:sz w:val="21"/>
                              <w:szCs w:val="21"/>
                            </w:rPr>
                          </w:pPr>
                          <w:r>
                            <w:rPr>
                              <w:rFonts w:ascii="Calibri" w:hAnsi="Calibri" w:cs="Calibri"/>
                              <w:sz w:val="21"/>
                              <w:szCs w:val="21"/>
                            </w:rPr>
                            <w:t>http://eelet.org.uk</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25pt;margin-top:-5.4pt;width:205.5pt;height:77.7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" stroked="f">
              <v:textbox style="mso-fit-shape-to-text:t">
                <w:txbxContent>
                  <w:p w:rsidR="0038571C" w:rsidRDefault="00B02913">
                    <w:pPr>
                      <w:pStyle w:val="Header"/>
                      <w:tabs>
                        <w:tab w:val="clear" w:pos="4153"/>
                        <w:tab w:val="clear" w:pos="8306"/>
                        <w:tab w:val="center" w:pos="4680"/>
                        <w:tab w:val="right" w:pos="9360"/>
                      </w:tabs>
                      <w:spacing w:after="0" w:line="240" w:lineRule="auto"/>
                      <w:rPr>
                        <w:rFonts w:ascii="Calibri" w:hAnsi="Calibri" w:cs="Calibri"/>
                        <w:sz w:val="21"/>
                        <w:szCs w:val="21"/>
                      </w:rPr>
                    </w:pPr>
                    <w:r>
                      <w:rPr>
                        <w:rFonts w:ascii="Calibri" w:hAnsi="Calibri" w:cs="Calibri"/>
                        <w:sz w:val="21"/>
                        <w:szCs w:val="21"/>
                      </w:rPr>
                      <w:t>European Economic Letters</w:t>
                    </w:r>
                  </w:p>
                  <w:p w:rsidR="0038571C" w:rsidRDefault="00B02913">
                    <w:pPr>
                      <w:spacing w:after="0" w:line="240" w:lineRule="auto"/>
                      <w:rPr>
                        <w:rFonts w:ascii="Calibri" w:hAnsi="Calibri" w:cs="Calibri"/>
                        <w:sz w:val="21"/>
                        <w:szCs w:val="21"/>
                      </w:rPr>
                    </w:pPr>
                    <w:r>
                      <w:rPr>
                        <w:rFonts w:ascii="Calibri" w:hAnsi="Calibri" w:cs="Calibri"/>
                        <w:sz w:val="21"/>
                        <w:szCs w:val="21"/>
                      </w:rPr>
                      <w:t>ISSN 2323-5233</w:t>
                    </w:r>
                    <w:r>
                      <w:rPr>
                        <w:rFonts w:ascii="Calibri" w:hAnsi="Calibri" w:cs="Calibri"/>
                        <w:sz w:val="21"/>
                        <w:szCs w:val="21"/>
                      </w:rPr>
                      <w:br/>
                      <w:t>Vol 1</w:t>
                    </w:r>
                    <w:r>
                      <w:rPr>
                        <w:rFonts w:ascii="Calibri" w:hAnsi="Calibri" w:cs="Calibri"/>
                        <w:sz w:val="21"/>
                        <w:szCs w:val="21"/>
                        <w:lang w:val="en-US"/>
                      </w:rPr>
                      <w:t>5</w:t>
                    </w:r>
                    <w:r>
                      <w:rPr>
                        <w:rFonts w:ascii="Calibri" w:hAnsi="Calibri" w:cs="Calibri"/>
                        <w:sz w:val="21"/>
                        <w:szCs w:val="21"/>
                      </w:rPr>
                      <w:t xml:space="preserve">, Issue </w:t>
                    </w:r>
                    <w:r>
                      <w:rPr>
                        <w:rFonts w:ascii="Calibri" w:hAnsi="Calibri" w:cs="Calibri"/>
                        <w:sz w:val="21"/>
                        <w:szCs w:val="21"/>
                        <w:lang w:val="en-GB"/>
                      </w:rPr>
                      <w:t>2</w:t>
                    </w:r>
                    <w:r>
                      <w:rPr>
                        <w:rFonts w:ascii="Calibri" w:hAnsi="Calibri" w:cs="Calibri"/>
                        <w:sz w:val="21"/>
                        <w:szCs w:val="21"/>
                      </w:rPr>
                      <w:t xml:space="preserve"> (202</w:t>
                    </w:r>
                    <w:r>
                      <w:rPr>
                        <w:rFonts w:ascii="Calibri" w:hAnsi="Calibri" w:cs="Calibri"/>
                        <w:sz w:val="21"/>
                        <w:szCs w:val="21"/>
                        <w:lang w:val="en-US"/>
                      </w:rPr>
                      <w:t>5</w:t>
                    </w:r>
                    <w:r>
                      <w:rPr>
                        <w:rFonts w:ascii="Calibri" w:hAnsi="Calibri" w:cs="Calibri"/>
                        <w:sz w:val="21"/>
                        <w:szCs w:val="21"/>
                      </w:rPr>
                      <w:t>)</w:t>
                    </w:r>
                  </w:p>
                  <w:p w:rsidR="0038571C" w:rsidRDefault="00B02913">
                    <w:pPr>
                      <w:spacing w:after="0" w:line="240" w:lineRule="auto"/>
                      <w:rPr>
                        <w:rFonts w:ascii="Calibri" w:hAnsi="Calibri" w:cs="Calibri"/>
                        <w:sz w:val="21"/>
                        <w:szCs w:val="21"/>
                      </w:rPr>
                    </w:pPr>
                    <w:r>
                      <w:rPr>
                        <w:rFonts w:ascii="Calibri" w:hAnsi="Calibri" w:cs="Calibri"/>
                        <w:sz w:val="21"/>
                        <w:szCs w:val="21"/>
                      </w:rPr>
                      <w:t>http://eelet.org.uk</w:t>
                    </w:r>
                  </w:p>
                </w:txbxContent>
              </v:textbox>
              <w10:wrap type="through"/>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655" w:rsidRDefault="00B93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A4D"/>
    <w:multiLevelType w:val="multilevel"/>
    <w:tmpl w:val="01490A4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4851867"/>
    <w:multiLevelType w:val="multilevel"/>
    <w:tmpl w:val="0485186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08D57CAD"/>
    <w:multiLevelType w:val="multilevel"/>
    <w:tmpl w:val="08D57CA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BA90054"/>
    <w:multiLevelType w:val="multilevel"/>
    <w:tmpl w:val="0BA9005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1BC7497C"/>
    <w:multiLevelType w:val="multilevel"/>
    <w:tmpl w:val="1BC7497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1CCC6A56"/>
    <w:multiLevelType w:val="multilevel"/>
    <w:tmpl w:val="1CCC6A5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1DB71B71"/>
    <w:multiLevelType w:val="multilevel"/>
    <w:tmpl w:val="1DB71B7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24B1528B"/>
    <w:multiLevelType w:val="multilevel"/>
    <w:tmpl w:val="24B1528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2C5A2AD3"/>
    <w:multiLevelType w:val="multilevel"/>
    <w:tmpl w:val="2C5A2AD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30992599"/>
    <w:multiLevelType w:val="multilevel"/>
    <w:tmpl w:val="3099259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38B956A2"/>
    <w:multiLevelType w:val="multilevel"/>
    <w:tmpl w:val="38B956A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5F7F5C91"/>
    <w:multiLevelType w:val="multilevel"/>
    <w:tmpl w:val="5F7F5C9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634F1F0C"/>
    <w:multiLevelType w:val="multilevel"/>
    <w:tmpl w:val="634F1F0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675277F5"/>
    <w:multiLevelType w:val="multilevel"/>
    <w:tmpl w:val="675277F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686358F8"/>
    <w:multiLevelType w:val="multilevel"/>
    <w:tmpl w:val="686358F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6BB253BD"/>
    <w:multiLevelType w:val="multilevel"/>
    <w:tmpl w:val="6BB253B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4"/>
  </w:num>
  <w:num w:numId="2">
    <w:abstractNumId w:val="0"/>
  </w:num>
  <w:num w:numId="3">
    <w:abstractNumId w:val="5"/>
  </w:num>
  <w:num w:numId="4">
    <w:abstractNumId w:val="15"/>
  </w:num>
  <w:num w:numId="5">
    <w:abstractNumId w:val="6"/>
  </w:num>
  <w:num w:numId="6">
    <w:abstractNumId w:val="2"/>
  </w:num>
  <w:num w:numId="7">
    <w:abstractNumId w:val="13"/>
  </w:num>
  <w:num w:numId="8">
    <w:abstractNumId w:val="4"/>
  </w:num>
  <w:num w:numId="9">
    <w:abstractNumId w:val="10"/>
  </w:num>
  <w:num w:numId="10">
    <w:abstractNumId w:val="3"/>
  </w:num>
  <w:num w:numId="11">
    <w:abstractNumId w:val="9"/>
  </w:num>
  <w:num w:numId="12">
    <w:abstractNumId w:val="7"/>
  </w:num>
  <w:num w:numId="13">
    <w:abstractNumId w:val="8"/>
  </w:num>
  <w:num w:numId="14">
    <w:abstractNumId w:val="1"/>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FB3"/>
    <w:rsid w:val="000848EF"/>
    <w:rsid w:val="0009207D"/>
    <w:rsid w:val="000D6A38"/>
    <w:rsid w:val="00111FC2"/>
    <w:rsid w:val="00194D6E"/>
    <w:rsid w:val="00263808"/>
    <w:rsid w:val="0028793A"/>
    <w:rsid w:val="0038571C"/>
    <w:rsid w:val="003A71B0"/>
    <w:rsid w:val="00545CC2"/>
    <w:rsid w:val="00565220"/>
    <w:rsid w:val="0057247C"/>
    <w:rsid w:val="00666336"/>
    <w:rsid w:val="00725612"/>
    <w:rsid w:val="007642A4"/>
    <w:rsid w:val="007F4E9D"/>
    <w:rsid w:val="0091518B"/>
    <w:rsid w:val="009E3162"/>
    <w:rsid w:val="00A03ED8"/>
    <w:rsid w:val="00A27BAF"/>
    <w:rsid w:val="00A41D9F"/>
    <w:rsid w:val="00AC3FB3"/>
    <w:rsid w:val="00AF0622"/>
    <w:rsid w:val="00B02913"/>
    <w:rsid w:val="00B22AF0"/>
    <w:rsid w:val="00B517C4"/>
    <w:rsid w:val="00B57A06"/>
    <w:rsid w:val="00B93655"/>
    <w:rsid w:val="00BA5C93"/>
    <w:rsid w:val="00DA31D2"/>
    <w:rsid w:val="00E70D11"/>
    <w:rsid w:val="00F36BC5"/>
    <w:rsid w:val="0FFC6856"/>
    <w:rsid w:val="2E0663BB"/>
    <w:rsid w:val="37E74B88"/>
    <w:rsid w:val="458F06AB"/>
    <w:rsid w:val="7687409B"/>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decimalSymbol w:val="."/>
  <w:listSeparator w:val=","/>
  <w15:docId w15:val="{0F5E0D93-78A7-4624-B47A-9F2F5ED62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val="en-IN"/>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uiPriority w:val="99"/>
    <w:unhideWhenUsed/>
    <w:pPr>
      <w:tabs>
        <w:tab w:val="center" w:pos="4153"/>
        <w:tab w:val="right" w:pos="8306"/>
      </w:tabs>
      <w:snapToGrid w:val="0"/>
    </w:pPr>
    <w:rPr>
      <w:sz w:val="18"/>
      <w:szCs w:val="18"/>
    </w:rPr>
  </w:style>
  <w:style w:type="paragraph" w:styleId="Header">
    <w:name w:val="header"/>
    <w:basedOn w:val="Normal"/>
    <w:uiPriority w:val="99"/>
    <w:unhideWhenUsed/>
    <w:pPr>
      <w:tabs>
        <w:tab w:val="center" w:pos="4153"/>
        <w:tab w:val="right" w:pos="8306"/>
      </w:tabs>
      <w:snapToGrid w:val="0"/>
    </w:pPr>
    <w:rPr>
      <w:sz w:val="18"/>
      <w:szCs w:val="18"/>
    </w:rPr>
  </w:style>
  <w:style w:type="character" w:styleId="Hyperlink">
    <w:name w:val="Hyperlink"/>
    <w:basedOn w:val="DefaultParagraphFont"/>
    <w:uiPriority w:val="99"/>
    <w:unhideWhenUsed/>
    <w:qFormat/>
    <w:rPr>
      <w:color w:val="0563C1" w:themeColor="hyperlink"/>
      <w:u w:val="single"/>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E74B5" w:themeColor="accent1" w:themeShade="BF"/>
    </w:rPr>
  </w:style>
  <w:style w:type="paragraph" w:styleId="IntenseQuote">
    <w:name w:val="Intense Quote"/>
    <w:basedOn w:val="Normal"/>
    <w:next w:val="Normal"/>
    <w:link w:val="IntenseQuoteCh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qFormat/>
    <w:rPr>
      <w:i/>
      <w:iCs/>
      <w:color w:val="2E74B5" w:themeColor="accent1" w:themeShade="BF"/>
    </w:rPr>
  </w:style>
  <w:style w:type="character" w:customStyle="1" w:styleId="IntenseReference1">
    <w:name w:val="Intense Reference1"/>
    <w:basedOn w:val="DefaultParagraphFont"/>
    <w:uiPriority w:val="32"/>
    <w:qFormat/>
    <w:rPr>
      <w:b/>
      <w:bCs/>
      <w:smallCaps/>
      <w:color w:val="2E74B5" w:themeColor="accent1" w:themeShade="BF"/>
      <w:spacing w:val="5"/>
    </w:r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3.wdp"/><Relationship Id="rId18" Type="http://schemas.openxmlformats.org/officeDocument/2006/relationships/image" Target="media/image6.png"/><Relationship Id="rId26" Type="http://schemas.openxmlformats.org/officeDocument/2006/relationships/hyperlink" Target="https://dl.acm.org/toc/tallip/2023/22/5"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doi.org/10.52783/jisem.v10i13s.2104" TargetMode="External"/><Relationship Id="rId34" Type="http://schemas.openxmlformats.org/officeDocument/2006/relationships/hyperlink" Target="https://onlinelibrary.wiley.com/authored-by/Shrivastava/Anurag" TargetMode="Externa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microsoft.com/office/2007/relationships/hdphoto" Target="media/hdphoto5.wdp"/><Relationship Id="rId25" Type="http://schemas.openxmlformats.org/officeDocument/2006/relationships/hyperlink" Target="https://dl.acm.org/doi/abs/10.1145/3554733" TargetMode="External"/><Relationship Id="rId33" Type="http://schemas.openxmlformats.org/officeDocument/2006/relationships/hyperlink" Target="https://onlinelibrary.wiley.com/authored-by/Gupta/Subhash+Chandra"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doi.org/10.22399/ijcesen.854" TargetMode="External"/><Relationship Id="rId29" Type="http://schemas.openxmlformats.org/officeDocument/2006/relationships/hyperlink" Target="https://doi.org/10.1007/s13198-021-01605-x"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24" Type="http://schemas.openxmlformats.org/officeDocument/2006/relationships/hyperlink" Target="https://dl.acm.org/doi/abs/10.1145/3554733" TargetMode="External"/><Relationship Id="rId32" Type="http://schemas.openxmlformats.org/officeDocument/2006/relationships/hyperlink" Target="https://onlinelibrary.wiley.com/authored-by/Kumar/S.+Jerald+Nirmal" TargetMode="External"/><Relationship Id="rId37" Type="http://schemas.openxmlformats.org/officeDocument/2006/relationships/hyperlink" Target="https://doi.org/10.1155/2022/5649363"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4.wdp"/><Relationship Id="rId23" Type="http://schemas.openxmlformats.org/officeDocument/2006/relationships/hyperlink" Target="https://dl.acm.org/doi/abs/10.1145/3554733" TargetMode="External"/><Relationship Id="rId28" Type="http://schemas.openxmlformats.org/officeDocument/2006/relationships/hyperlink" Target="https://doi.org/10.1016/j.matpr.2021.07.368" TargetMode="External"/><Relationship Id="rId36" Type="http://schemas.openxmlformats.org/officeDocument/2006/relationships/hyperlink" Target="https://onlinelibrary.wiley.com/authored-by/Jain/Rituraj" TargetMode="Externa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hyperlink" Target="https://onlinelibrary.wiley.com/authored-by/Kumar/A.+Suresh" TargetMode="External"/><Relationship Id="rId44"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 Id="rId22" Type="http://schemas.openxmlformats.org/officeDocument/2006/relationships/hyperlink" Target="https://dl.acm.org/doi/abs/10.1145/3554733" TargetMode="External"/><Relationship Id="rId27" Type="http://schemas.openxmlformats.org/officeDocument/2006/relationships/hyperlink" Target="https://doi.org/10.1145/3554733" TargetMode="External"/><Relationship Id="rId30" Type="http://schemas.openxmlformats.org/officeDocument/2006/relationships/hyperlink" Target="https://doi.org/10.1016/j.matpr.2021.07.283" TargetMode="External"/><Relationship Id="rId35" Type="http://schemas.openxmlformats.org/officeDocument/2006/relationships/hyperlink" Target="https://onlinelibrary.wiley.com/authored-by/Kumar/Keshav" TargetMode="External"/><Relationship Id="rId43"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8336</Words>
  <Characters>47519</Characters>
  <Application>Microsoft Office Word</Application>
  <DocSecurity>0</DocSecurity>
  <Lines>395</Lines>
  <Paragraphs>111</Paragraphs>
  <ScaleCrop>false</ScaleCrop>
  <Company/>
  <LinksUpToDate>false</LinksUpToDate>
  <CharactersWithSpaces>55744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Ayan Banik</dc:creator>
  <cp:lastModifiedBy>Admin</cp:lastModifiedBy>
  <cp:revision>3</cp:revision>
  <dcterms:created xsi:type="dcterms:W3CDTF">2025-05-07T05:39:00Z</dcterms:created>
  <dcterms:modified xsi:type="dcterms:W3CDTF">2025-05-07T15:23:00Z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2057-12.2.0.20795</vt:lpwstr>
  </property>
  <property fmtid="{D5CDD505-2E9C-101B-9397-08002B2CF9AE}" pid="3" name="ICV">
    <vt:lpwstr>01F09D1A5D8F4BEAB528C25439CF2043_13</vt:lpwstr>
  </property>
</Properties>
</file>